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4B" w:rsidRPr="004E74BE" w:rsidRDefault="00A2604B" w:rsidP="00A2604B">
      <w:pPr>
        <w:jc w:val="center"/>
        <w:rPr>
          <w:b/>
        </w:rPr>
      </w:pPr>
      <w:r w:rsidRPr="004E74BE">
        <w:rPr>
          <w:b/>
        </w:rPr>
        <w:t>BARTON COMMUNITY COLLEGE</w:t>
      </w:r>
    </w:p>
    <w:p w:rsidR="00A2604B" w:rsidRDefault="00A2604B" w:rsidP="00A2604B">
      <w:pPr>
        <w:jc w:val="center"/>
        <w:rPr>
          <w:b/>
        </w:rPr>
      </w:pPr>
      <w:r w:rsidRPr="004E74BE">
        <w:rPr>
          <w:b/>
        </w:rPr>
        <w:t>COURSE SYLLABUS</w:t>
      </w:r>
    </w:p>
    <w:p w:rsidR="00F27534" w:rsidRPr="004E74BE" w:rsidRDefault="00406E80" w:rsidP="00A2604B">
      <w:pPr>
        <w:jc w:val="center"/>
        <w:rPr>
          <w:b/>
        </w:rPr>
      </w:pPr>
      <w:r>
        <w:rPr>
          <w:b/>
        </w:rPr>
        <w:t>SUMMER 2013</w:t>
      </w:r>
    </w:p>
    <w:p w:rsidR="00A2604B" w:rsidRPr="004E74BE" w:rsidRDefault="00A2604B" w:rsidP="00A2604B">
      <w:pPr>
        <w:jc w:val="center"/>
      </w:pPr>
    </w:p>
    <w:p w:rsidR="00A2604B" w:rsidRPr="004E74BE" w:rsidRDefault="00A2604B" w:rsidP="00A2604B">
      <w:pPr>
        <w:pStyle w:val="ListParagraph"/>
        <w:numPr>
          <w:ilvl w:val="0"/>
          <w:numId w:val="2"/>
        </w:numPr>
        <w:rPr>
          <w:b/>
          <w:bCs/>
        </w:rPr>
      </w:pPr>
      <w:r w:rsidRPr="004E74BE">
        <w:rPr>
          <w:b/>
          <w:bCs/>
        </w:rPr>
        <w:t>GENERAL COURSE INFORMATION</w:t>
      </w:r>
    </w:p>
    <w:p w:rsidR="00A2604B" w:rsidRPr="004E74BE" w:rsidRDefault="00A2604B" w:rsidP="00A2604B"/>
    <w:p w:rsidR="00A2604B" w:rsidRPr="004E74BE" w:rsidRDefault="00A2604B" w:rsidP="00A2604B">
      <w:pPr>
        <w:ind w:left="360"/>
      </w:pPr>
      <w:r w:rsidRPr="004E74BE">
        <w:rPr>
          <w:u w:val="single"/>
        </w:rPr>
        <w:t>Course Number</w:t>
      </w:r>
      <w:r w:rsidRPr="004E74BE">
        <w:t xml:space="preserve">: </w:t>
      </w:r>
      <w:r w:rsidRPr="004E74BE">
        <w:tab/>
        <w:t>MLTC 1510</w:t>
      </w:r>
    </w:p>
    <w:p w:rsidR="00A2604B" w:rsidRPr="004E74BE" w:rsidRDefault="00A2604B" w:rsidP="00A2604B">
      <w:pPr>
        <w:ind w:left="360"/>
      </w:pPr>
      <w:r w:rsidRPr="004E74BE">
        <w:rPr>
          <w:u w:val="single"/>
        </w:rPr>
        <w:t>Course Title</w:t>
      </w:r>
      <w:r w:rsidRPr="004E74BE">
        <w:t xml:space="preserve">: </w:t>
      </w:r>
      <w:r w:rsidRPr="004E74BE">
        <w:tab/>
        <w:t>MLT: Clinical Chemistry II</w:t>
      </w:r>
    </w:p>
    <w:p w:rsidR="00A2604B" w:rsidRPr="004E74BE" w:rsidRDefault="00A2604B" w:rsidP="00A2604B">
      <w:pPr>
        <w:ind w:left="360"/>
      </w:pPr>
      <w:r w:rsidRPr="004E74BE">
        <w:rPr>
          <w:u w:val="single"/>
        </w:rPr>
        <w:t>Credit Hours</w:t>
      </w:r>
      <w:r w:rsidRPr="004E74BE">
        <w:t xml:space="preserve">: </w:t>
      </w:r>
      <w:r w:rsidRPr="004E74BE">
        <w:tab/>
      </w:r>
      <w:r w:rsidR="00C878ED">
        <w:t xml:space="preserve">0 to </w:t>
      </w:r>
      <w:r w:rsidRPr="004E74BE">
        <w:t xml:space="preserve">2 </w:t>
      </w:r>
    </w:p>
    <w:p w:rsidR="00A2604B" w:rsidRPr="004E74BE" w:rsidRDefault="00A2604B" w:rsidP="00A2604B">
      <w:pPr>
        <w:ind w:left="360"/>
      </w:pPr>
      <w:r w:rsidRPr="004E74BE">
        <w:rPr>
          <w:u w:val="single"/>
        </w:rPr>
        <w:t>Prerequisite</w:t>
      </w:r>
      <w:r w:rsidRPr="004E74BE">
        <w:t xml:space="preserve">:  </w:t>
      </w:r>
      <w:r w:rsidRPr="004E74BE">
        <w:tab/>
        <w:t>CHEM 0802 Fundamentals of General Chemistry or equivalent</w:t>
      </w:r>
    </w:p>
    <w:p w:rsidR="00A2604B" w:rsidRPr="004E74BE" w:rsidRDefault="00A2604B" w:rsidP="00A2604B">
      <w:pPr>
        <w:ind w:left="360"/>
      </w:pPr>
      <w:r w:rsidRPr="004E74BE">
        <w:rPr>
          <w:u w:val="single"/>
        </w:rPr>
        <w:t>Division/Discipline</w:t>
      </w:r>
      <w:r w:rsidRPr="004E74BE">
        <w:t>: WTCE Division, Medical Laboratory Technician Program</w:t>
      </w:r>
    </w:p>
    <w:p w:rsidR="00B0205C" w:rsidRDefault="00B0205C" w:rsidP="00B0205C">
      <w:pPr>
        <w:ind w:left="360"/>
        <w:rPr>
          <w:color w:val="000000"/>
        </w:rPr>
      </w:pPr>
      <w:r w:rsidRPr="00D60298">
        <w:rPr>
          <w:color w:val="000000"/>
          <w:u w:val="single"/>
        </w:rPr>
        <w:t>Course Description</w:t>
      </w:r>
      <w:r w:rsidRPr="00D60298">
        <w:rPr>
          <w:color w:val="000000"/>
        </w:rPr>
        <w:t xml:space="preserve">:   </w:t>
      </w:r>
      <w:r w:rsidRPr="00503DC4">
        <w:rPr>
          <w:color w:val="000000"/>
        </w:rPr>
        <w:t>Clinical Chemistry involves the principles and procedures of quantitative analysis of blood and body fluids and their variations in health and disease.  Students learn the different instrumentation available in the medical laboratory.</w:t>
      </w:r>
    </w:p>
    <w:p w:rsidR="00F655A2" w:rsidRPr="00F655A2" w:rsidRDefault="00F655A2" w:rsidP="00F655A2">
      <w:pPr>
        <w:ind w:left="360"/>
        <w:rPr>
          <w:color w:val="000000"/>
        </w:rPr>
      </w:pPr>
      <w:r>
        <w:rPr>
          <w:color w:val="000000"/>
          <w:u w:val="single"/>
        </w:rPr>
        <w:t>Variable Credit</w:t>
      </w:r>
      <w:r w:rsidRPr="00F655A2">
        <w:rPr>
          <w:color w:val="000000"/>
        </w:rPr>
        <w:t>:</w:t>
      </w:r>
      <w:r>
        <w:rPr>
          <w:color w:val="000000"/>
        </w:rPr>
        <w:t xml:space="preserve">  </w:t>
      </w:r>
      <w:r w:rsidRPr="00F655A2">
        <w:rPr>
          <w:color w:val="000000"/>
        </w:rPr>
        <w:t>Credit hour offering will vary according to student use of the Great Bend campus as their cooperative lab (0 credit hour lab and 2 credit hour course). It will also be used for assigning credit of similar Clinical Laboratory Science or Medical Laboratory Technicia</w:t>
      </w:r>
      <w:r>
        <w:rPr>
          <w:color w:val="000000"/>
        </w:rPr>
        <w:t>n courses from other accredited</w:t>
      </w:r>
      <w:r w:rsidRPr="00F655A2">
        <w:rPr>
          <w:color w:val="000000"/>
        </w:rPr>
        <w:t xml:space="preserve"> programs based on syllabus comparison.</w:t>
      </w:r>
    </w:p>
    <w:p w:rsidR="00B0205C" w:rsidRDefault="00B0205C" w:rsidP="00B0205C">
      <w:pPr>
        <w:pStyle w:val="Default"/>
      </w:pPr>
    </w:p>
    <w:p w:rsidR="00F655A2" w:rsidRPr="00D60298" w:rsidRDefault="00F655A2" w:rsidP="00B0205C">
      <w:pPr>
        <w:pStyle w:val="Default"/>
      </w:pPr>
      <w:bookmarkStart w:id="0" w:name="_GoBack"/>
      <w:bookmarkEnd w:id="0"/>
    </w:p>
    <w:p w:rsidR="00B0205C" w:rsidRPr="00D60298" w:rsidRDefault="00B0205C" w:rsidP="00E9692F">
      <w:pPr>
        <w:pStyle w:val="Heading1"/>
        <w:keepNext w:val="0"/>
        <w:widowControl w:val="0"/>
        <w:numPr>
          <w:ilvl w:val="0"/>
          <w:numId w:val="2"/>
        </w:numPr>
        <w:autoSpaceDE w:val="0"/>
        <w:autoSpaceDN w:val="0"/>
        <w:adjustRightInd w:val="0"/>
        <w:jc w:val="left"/>
        <w:rPr>
          <w:color w:val="000000"/>
        </w:rPr>
      </w:pPr>
      <w:r w:rsidRPr="00D60298">
        <w:rPr>
          <w:b/>
          <w:bCs/>
          <w:color w:val="000000"/>
        </w:rPr>
        <w:t xml:space="preserve">CLASSROOM POLICY </w:t>
      </w:r>
    </w:p>
    <w:p w:rsidR="00B0205C" w:rsidRPr="00D60298" w:rsidRDefault="00B0205C" w:rsidP="00B0205C">
      <w:pPr>
        <w:rPr>
          <w:color w:val="000000"/>
        </w:rPr>
      </w:pPr>
      <w:r w:rsidRPr="00D60298">
        <w:rPr>
          <w:color w:val="000000"/>
        </w:rPr>
        <w:t xml:space="preserve"> </w:t>
      </w:r>
    </w:p>
    <w:p w:rsidR="00B0205C" w:rsidRPr="00D60298" w:rsidRDefault="00B0205C" w:rsidP="00B0205C">
      <w:pPr>
        <w:pStyle w:val="BodyTextIndent"/>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B0205C" w:rsidRPr="00D60298" w:rsidRDefault="00B0205C" w:rsidP="00B0205C">
      <w:pPr>
        <w:ind w:left="360"/>
        <w:rPr>
          <w:color w:val="000000"/>
        </w:rPr>
      </w:pPr>
      <w:r w:rsidRPr="00D60298">
        <w:rPr>
          <w:color w:val="000000"/>
        </w:rPr>
        <w:t xml:space="preserve"> </w:t>
      </w:r>
    </w:p>
    <w:p w:rsidR="00B0205C" w:rsidRPr="00D60298" w:rsidRDefault="00B0205C" w:rsidP="00B0205C">
      <w:pPr>
        <w:ind w:left="360"/>
        <w:rPr>
          <w:color w:val="000000"/>
        </w:rPr>
      </w:pPr>
      <w:r w:rsidRPr="00D60298">
        <w:rPr>
          <w:color w:val="000000"/>
        </w:rPr>
        <w:t xml:space="preserve">The College reserves the right to suspend a student for conduct that is detrimental to the College's educational endeavors as outlined in the College catalog. </w:t>
      </w:r>
    </w:p>
    <w:p w:rsidR="00B0205C" w:rsidRPr="00D60298" w:rsidRDefault="00B0205C" w:rsidP="00B0205C">
      <w:pPr>
        <w:ind w:left="360"/>
        <w:rPr>
          <w:color w:val="000000"/>
        </w:rPr>
      </w:pPr>
      <w:r w:rsidRPr="00D60298">
        <w:rPr>
          <w:color w:val="000000"/>
        </w:rPr>
        <w:t xml:space="preserve"> </w:t>
      </w:r>
    </w:p>
    <w:p w:rsidR="00B0205C" w:rsidRPr="00D60298" w:rsidRDefault="00B0205C" w:rsidP="00B0205C">
      <w:pPr>
        <w:ind w:left="360"/>
        <w:rPr>
          <w:color w:val="000000"/>
        </w:rPr>
      </w:pPr>
      <w:r w:rsidRPr="00D60298">
        <w:rPr>
          <w:color w:val="000000"/>
        </w:rPr>
        <w:t xml:space="preserve">Plagiarism on any academic endeavors at Barton County Community College will not be tolerated.  Learn the rules of, and avoid instances of, intentional or unintentional plagiarism. </w:t>
      </w:r>
    </w:p>
    <w:p w:rsidR="00B0205C" w:rsidRPr="00D60298" w:rsidRDefault="00B0205C" w:rsidP="00B0205C">
      <w:pPr>
        <w:ind w:left="360"/>
        <w:rPr>
          <w:color w:val="000000"/>
        </w:rPr>
      </w:pPr>
      <w:r w:rsidRPr="00D60298">
        <w:rPr>
          <w:color w:val="000000"/>
        </w:rPr>
        <w:t xml:space="preserve"> </w:t>
      </w:r>
    </w:p>
    <w:p w:rsidR="00B0205C" w:rsidRPr="00D60298" w:rsidRDefault="00B0205C" w:rsidP="00B0205C">
      <w:pPr>
        <w:ind w:left="360"/>
        <w:rPr>
          <w:color w:val="000000"/>
        </w:rPr>
      </w:pPr>
      <w:r w:rsidRPr="00D60298">
        <w:rPr>
          <w:color w:val="000000"/>
        </w:rPr>
        <w:t>Anyone seeking an accommodation under provisions of the Americans with Disabilities Act should notify Student Support Services.  Additional information about academic integrity can be found at the following link:</w:t>
      </w:r>
    </w:p>
    <w:p w:rsidR="00B0205C" w:rsidRPr="00D60298" w:rsidRDefault="00F655A2" w:rsidP="00B0205C">
      <w:pPr>
        <w:ind w:left="360"/>
        <w:rPr>
          <w:color w:val="000000"/>
        </w:rPr>
      </w:pPr>
      <w:hyperlink r:id="rId6" w:history="1">
        <w:r w:rsidR="00B0205C" w:rsidRPr="00D60298">
          <w:rPr>
            <w:rStyle w:val="Hyperlink"/>
          </w:rPr>
          <w:t>http://academicintegrity.bartonccc.edu/</w:t>
        </w:r>
      </w:hyperlink>
    </w:p>
    <w:p w:rsidR="00B0205C" w:rsidRPr="00D60298" w:rsidRDefault="00B0205C" w:rsidP="00B0205C">
      <w:pPr>
        <w:rPr>
          <w:color w:val="000000"/>
        </w:rPr>
      </w:pPr>
      <w:r w:rsidRPr="00D60298">
        <w:rPr>
          <w:color w:val="000000"/>
        </w:rPr>
        <w:t xml:space="preserve"> </w:t>
      </w:r>
    </w:p>
    <w:p w:rsidR="00B0205C" w:rsidRPr="00D60298" w:rsidRDefault="00B0205C" w:rsidP="00B0205C">
      <w:pPr>
        <w:rPr>
          <w:color w:val="000000"/>
        </w:rPr>
      </w:pPr>
      <w:r w:rsidRPr="00D60298">
        <w:rPr>
          <w:color w:val="000000"/>
        </w:rPr>
        <w:t xml:space="preserve"> </w:t>
      </w:r>
    </w:p>
    <w:p w:rsidR="00B0205C" w:rsidRPr="00D60298" w:rsidRDefault="00B0205C" w:rsidP="00E9692F">
      <w:pPr>
        <w:pStyle w:val="Heading1"/>
        <w:keepNext w:val="0"/>
        <w:widowControl w:val="0"/>
        <w:numPr>
          <w:ilvl w:val="0"/>
          <w:numId w:val="2"/>
        </w:numPr>
        <w:autoSpaceDE w:val="0"/>
        <w:autoSpaceDN w:val="0"/>
        <w:adjustRightInd w:val="0"/>
        <w:jc w:val="left"/>
        <w:rPr>
          <w:b/>
          <w:bCs/>
          <w:color w:val="000000"/>
        </w:rPr>
      </w:pPr>
      <w:r w:rsidRPr="00D60298">
        <w:rPr>
          <w:b/>
          <w:bCs/>
          <w:color w:val="000000"/>
        </w:rPr>
        <w:t xml:space="preserve">COURSE AS VIEWED IN THE TOTAL CURRICULUM </w:t>
      </w:r>
    </w:p>
    <w:p w:rsidR="00B0205C" w:rsidRPr="00D60298" w:rsidRDefault="00B0205C" w:rsidP="00B0205C">
      <w:pPr>
        <w:pStyle w:val="Default"/>
      </w:pPr>
    </w:p>
    <w:p w:rsidR="00B0205C" w:rsidRPr="00503DC4" w:rsidRDefault="00B0205C" w:rsidP="00B0205C">
      <w:pPr>
        <w:pStyle w:val="Default"/>
        <w:ind w:left="360"/>
        <w:rPr>
          <w:color w:val="auto"/>
        </w:rPr>
      </w:pPr>
      <w:r w:rsidRPr="00503DC4">
        <w:rPr>
          <w:color w:val="auto"/>
        </w:rPr>
        <w:t>Chemistry II is one of a series of technical courses for the Medical Laboratory Program.  The course is designed to understand the instrumentation, quality control, and safety to become competent to perform job skills in the clinical laboratory.</w:t>
      </w:r>
    </w:p>
    <w:p w:rsidR="00B0205C" w:rsidRPr="00503DC4" w:rsidRDefault="00B0205C" w:rsidP="00B0205C">
      <w:pPr>
        <w:pStyle w:val="Default"/>
        <w:ind w:left="360"/>
        <w:rPr>
          <w:color w:val="auto"/>
        </w:rPr>
      </w:pPr>
    </w:p>
    <w:p w:rsidR="00B0205C" w:rsidRPr="00503DC4" w:rsidRDefault="00B0205C" w:rsidP="00B0205C">
      <w:pPr>
        <w:pStyle w:val="Default"/>
        <w:ind w:left="360"/>
        <w:rPr>
          <w:color w:val="auto"/>
        </w:rPr>
      </w:pPr>
      <w:r w:rsidRPr="00503DC4">
        <w:rPr>
          <w:color w:val="auto"/>
        </w:rPr>
        <w:t xml:space="preserve">Students planning to transfer credit for a baccalaureate degree will be granted transfer credit </w:t>
      </w:r>
      <w:r w:rsidRPr="00503DC4">
        <w:rPr>
          <w:color w:val="auto"/>
        </w:rPr>
        <w:lastRenderedPageBreak/>
        <w:t>only as determined by the four year institution.</w:t>
      </w:r>
    </w:p>
    <w:p w:rsidR="00B0205C" w:rsidRPr="00503DC4" w:rsidRDefault="00B0205C" w:rsidP="00B0205C">
      <w:pPr>
        <w:pStyle w:val="Default"/>
        <w:ind w:left="360"/>
        <w:rPr>
          <w:color w:val="auto"/>
        </w:rPr>
      </w:pPr>
    </w:p>
    <w:p w:rsidR="00B0205C" w:rsidRPr="00503DC4" w:rsidRDefault="00B0205C" w:rsidP="00B0205C">
      <w:pPr>
        <w:pStyle w:val="Default"/>
        <w:ind w:left="360"/>
        <w:rPr>
          <w:color w:val="auto"/>
        </w:rPr>
      </w:pPr>
      <w:r w:rsidRPr="00503DC4">
        <w:rPr>
          <w:color w:val="auto"/>
        </w:rPr>
        <w:t>The transferability of all college courses will vary among institutions, and perhaps even among departments, colleges, or programs within an institution.  Institutional requirements may also change without prior notification.  Students responsible to obtain relevant</w:t>
      </w:r>
      <w:r>
        <w:rPr>
          <w:color w:val="7030A0"/>
        </w:rPr>
        <w:t xml:space="preserve"> </w:t>
      </w:r>
      <w:r w:rsidRPr="00503DC4">
        <w:rPr>
          <w:color w:val="auto"/>
        </w:rPr>
        <w:t>information from intended transfer institutions to ensure that the courses the student enrolls in are the most appropriate set of courses for the transfer program.</w:t>
      </w:r>
    </w:p>
    <w:p w:rsidR="00B0205C" w:rsidRPr="00D60298" w:rsidRDefault="00B0205C" w:rsidP="00B0205C">
      <w:pPr>
        <w:rPr>
          <w:color w:val="000000"/>
        </w:rPr>
      </w:pPr>
      <w:r w:rsidRPr="00D60298">
        <w:rPr>
          <w:color w:val="000000"/>
        </w:rPr>
        <w:t xml:space="preserve"> </w:t>
      </w:r>
    </w:p>
    <w:p w:rsidR="00B0205C" w:rsidRPr="00FC4BF4" w:rsidRDefault="00B0205C" w:rsidP="00FC4BF4">
      <w:pPr>
        <w:pStyle w:val="ListParagraph"/>
        <w:numPr>
          <w:ilvl w:val="0"/>
          <w:numId w:val="2"/>
        </w:numPr>
        <w:rPr>
          <w:color w:val="000000"/>
        </w:rPr>
      </w:pPr>
      <w:r w:rsidRPr="00FC4BF4">
        <w:rPr>
          <w:b/>
          <w:bCs/>
          <w:color w:val="000000"/>
        </w:rPr>
        <w:t xml:space="preserve">ASSESSMENT OF STUDENT LEARNING </w:t>
      </w:r>
    </w:p>
    <w:p w:rsidR="00B0205C" w:rsidRPr="00D60298" w:rsidRDefault="00B0205C" w:rsidP="00B0205C">
      <w:pPr>
        <w:rPr>
          <w:color w:val="000000"/>
        </w:rPr>
      </w:pPr>
      <w:r w:rsidRPr="00D60298">
        <w:rPr>
          <w:color w:val="000000"/>
        </w:rPr>
        <w:t xml:space="preserve"> </w:t>
      </w:r>
    </w:p>
    <w:p w:rsidR="00A2604B" w:rsidRPr="00B0205C" w:rsidRDefault="00B0205C" w:rsidP="00B0205C">
      <w:pPr>
        <w:pStyle w:val="BodyTextIndent"/>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2604B" w:rsidRPr="004E74BE" w:rsidRDefault="00A2604B" w:rsidP="00A2604B"/>
    <w:p w:rsidR="00E9692F" w:rsidRDefault="00E9692F" w:rsidP="00A2604B"/>
    <w:p w:rsidR="00B0205C" w:rsidRPr="004E74BE" w:rsidRDefault="00B0205C" w:rsidP="00E9692F">
      <w:pPr>
        <w:pStyle w:val="ListParagraph"/>
        <w:numPr>
          <w:ilvl w:val="0"/>
          <w:numId w:val="4"/>
        </w:numPr>
      </w:pPr>
      <w:r>
        <w:t>Use common clinical chemistry terminology associated with blood gases</w:t>
      </w:r>
      <w:r w:rsidR="00E9692F">
        <w:t>, mineral metabolism</w:t>
      </w:r>
      <w:r>
        <w:t xml:space="preserve"> and determine suitability of specimens for chemical analysis: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Define or identify terms related to acid-base balance and blood gas analysis.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Describe the major processes by which the body maintains acid-base balance, including the role of buffer systems, the respiratory system, and the renal system.</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discuss issues related to collection and handling of specimens for pH and blood gases analysis.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Describe the basic theory of operation, and summarize the essential components for a pH electrode system, pO</w:t>
      </w:r>
      <w:r w:rsidRPr="004E74BE">
        <w:rPr>
          <w:rFonts w:ascii="Times New Roman" w:hAnsi="Times New Roman" w:cs="Times New Roman"/>
          <w:vertAlign w:val="subscript"/>
        </w:rPr>
        <w:t>2</w:t>
      </w:r>
      <w:r w:rsidRPr="004E74BE">
        <w:rPr>
          <w:rFonts w:ascii="Times New Roman" w:hAnsi="Times New Roman" w:cs="Times New Roman"/>
        </w:rPr>
        <w:t xml:space="preserve"> electrode system, pCO</w:t>
      </w:r>
      <w:r w:rsidRPr="004E74BE">
        <w:rPr>
          <w:rFonts w:ascii="Times New Roman" w:hAnsi="Times New Roman" w:cs="Times New Roman"/>
          <w:vertAlign w:val="subscript"/>
        </w:rPr>
        <w:t>2</w:t>
      </w:r>
      <w:r w:rsidRPr="004E74BE">
        <w:rPr>
          <w:rFonts w:ascii="Times New Roman" w:hAnsi="Times New Roman" w:cs="Times New Roman"/>
        </w:rPr>
        <w:t xml:space="preserve"> electrode system.</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Describe the reference ranges and critical values for the blood pH, pO2 and pCO2.</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describe respiratory acidosis, respiratory alkalosis, metabolic acidosis, and metabolic alkalosis and give examples of causative situations; state how the body attempts to compensate for the condition.</w:t>
      </w:r>
    </w:p>
    <w:p w:rsidR="00A2604B"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 xml:space="preserve">Perform blood gas analysis and analyze results to determine whether data are normal or represent metabolic or respiratory acidosis or metabolic or respiratory alkalosis.  Identify whether the data represent an uncompensated or a compensated condition.  </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describe the chemical nature of:  calcium; phosphate; magnesium; lithium; iron</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 xml:space="preserve">Describe the major physiology for calcium, phosphate, magnesium, lithium and iron, including regulation and distribution </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List the common methods of analysis for calcium, phosphate, magnesium, lithium, and iron and describe the basic principles of selected methods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Describe the normal ranges for calcium, phosphate, magnesium, lithium and iron, as given in lecture</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Note the major clinical significance of abnormal levels of calcium, phosphate, magnesium, lithium, and iron</w:t>
      </w:r>
    </w:p>
    <w:p w:rsidR="00A2604B"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lastRenderedPageBreak/>
        <w:t>Perform analysis of selected minerals and analyze results to determine if within acceptable range or abnormal results.  Perform maintenance, calibration and quality control on instrumentation to determine min</w:t>
      </w:r>
      <w:r>
        <w:rPr>
          <w:rFonts w:ascii="Times New Roman" w:hAnsi="Times New Roman" w:cs="Times New Roman"/>
        </w:rPr>
        <w:t>eral analysis.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Identify the basic processes involved in an automated chemical analysis</w:t>
      </w:r>
    </w:p>
    <w:p w:rsidR="00B0205C" w:rsidRDefault="00B0205C" w:rsidP="00B0205C">
      <w:pPr>
        <w:pStyle w:val="NormalWeb"/>
        <w:spacing w:before="0" w:beforeAutospacing="0" w:after="0" w:afterAutospacing="0"/>
        <w:rPr>
          <w:rFonts w:ascii="Times New Roman" w:hAnsi="Times New Roman" w:cs="Times New Roman"/>
        </w:rPr>
      </w:pPr>
    </w:p>
    <w:p w:rsidR="00B0205C" w:rsidRDefault="00B0205C" w:rsidP="00B0205C">
      <w:pPr>
        <w:pStyle w:val="NormalWeb"/>
        <w:spacing w:before="0" w:beforeAutospacing="0" w:after="0" w:afterAutospacing="0"/>
        <w:rPr>
          <w:rFonts w:ascii="Times New Roman" w:hAnsi="Times New Roman" w:cs="Times New Roman"/>
        </w:rPr>
      </w:pPr>
    </w:p>
    <w:p w:rsidR="00B0205C" w:rsidRPr="004E74BE" w:rsidRDefault="00B0205C" w:rsidP="00E9692F">
      <w:pPr>
        <w:pStyle w:val="NormalWeb"/>
        <w:numPr>
          <w:ilvl w:val="0"/>
          <w:numId w:val="4"/>
        </w:numPr>
        <w:spacing w:before="0" w:beforeAutospacing="0" w:after="0" w:afterAutospacing="0"/>
        <w:rPr>
          <w:rFonts w:ascii="Times New Roman" w:hAnsi="Times New Roman" w:cs="Times New Roman"/>
        </w:rPr>
      </w:pPr>
      <w:r>
        <w:rPr>
          <w:rFonts w:ascii="Times New Roman" w:hAnsi="Times New Roman" w:cs="Times New Roman"/>
        </w:rPr>
        <w:t>Follow established quality control procedures, perform testing including maintenance and calibration:</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Define terms related to clinical chemistry automation, including but not limited to the following:  analytical sensitivity; analytical specificity; analytical throughput; batch analyzer; bi-directional interface; carryover; centrifugal analyzer; clinical sensitivity; clinical specificity; closed tube sampling; delta checking; downtime; laboratory information system; post-analytical; pre-analytical; random access analyzer; test menu; turnaround time</w:t>
      </w:r>
    </w:p>
    <w:p w:rsidR="00E9692F"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Perform automated chemical analysis and assess calibration, quality control and patient values.</w:t>
      </w:r>
    </w:p>
    <w:p w:rsidR="00B0205C" w:rsidRPr="00E9692F" w:rsidRDefault="00B0205C" w:rsidP="00E9692F">
      <w:pPr>
        <w:pStyle w:val="NormalWeb"/>
        <w:numPr>
          <w:ilvl w:val="0"/>
          <w:numId w:val="4"/>
        </w:numPr>
        <w:spacing w:before="0" w:beforeAutospacing="0" w:after="0" w:afterAutospacing="0"/>
        <w:rPr>
          <w:rFonts w:ascii="Times New Roman" w:hAnsi="Times New Roman" w:cs="Times New Roman"/>
        </w:rPr>
      </w:pPr>
      <w:r w:rsidRPr="00E9692F">
        <w:rPr>
          <w:rFonts w:ascii="Times New Roman" w:hAnsi="Times New Roman" w:cs="Times New Roman"/>
        </w:rPr>
        <w:t xml:space="preserve">Recognize </w:t>
      </w:r>
      <w:r w:rsidR="00DD1FE3" w:rsidRPr="00E9692F">
        <w:rPr>
          <w:rFonts w:ascii="Times New Roman" w:hAnsi="Times New Roman" w:cs="Times New Roman"/>
        </w:rPr>
        <w:t>and define terms related to electrophoresis and immunoassays: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Define electrophoresis and list the major components of an electrophoresis system</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List and briefly discuss the major concepts affecting electrophoresis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Identify the bands of protein electrophoresis as produced on cellulose acetate at pH 8.8</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 xml:space="preserve">Identify normal and abnormal protein electrophoresis patterns, as produced on cellulose acetate at pH 8.8 </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 xml:space="preserve">Briefly describe the technique and clinical application for high resolution protein electrophoresis, urine protein electrophoresis, cerebrospinal fluid protein electrophoresis, isoenzyme electrophoresis, lipoprotein electrophoresis, hemoglobin electrophoresis, isoelectric focusing, </w:t>
      </w:r>
      <w:proofErr w:type="spellStart"/>
      <w:r w:rsidRPr="004E74BE">
        <w:rPr>
          <w:rFonts w:ascii="Times New Roman" w:hAnsi="Times New Roman" w:cs="Times New Roman"/>
        </w:rPr>
        <w:t>counterimmunoelectrophoresis</w:t>
      </w:r>
      <w:proofErr w:type="spellEnd"/>
      <w:r w:rsidRPr="004E74BE">
        <w:rPr>
          <w:rFonts w:ascii="Times New Roman" w:hAnsi="Times New Roman" w:cs="Times New Roman"/>
        </w:rPr>
        <w:t xml:space="preserve">, </w:t>
      </w:r>
      <w:proofErr w:type="spellStart"/>
      <w:r w:rsidRPr="004E74BE">
        <w:rPr>
          <w:rFonts w:ascii="Times New Roman" w:hAnsi="Times New Roman" w:cs="Times New Roman"/>
        </w:rPr>
        <w:t>immunoelectrophoresis</w:t>
      </w:r>
      <w:proofErr w:type="spellEnd"/>
      <w:r w:rsidRPr="004E74BE">
        <w:rPr>
          <w:rFonts w:ascii="Times New Roman" w:hAnsi="Times New Roman" w:cs="Times New Roman"/>
        </w:rPr>
        <w:t xml:space="preserve">, </w:t>
      </w:r>
      <w:proofErr w:type="spellStart"/>
      <w:r w:rsidRPr="004E74BE">
        <w:rPr>
          <w:rFonts w:ascii="Times New Roman" w:hAnsi="Times New Roman" w:cs="Times New Roman"/>
        </w:rPr>
        <w:t>immunofixation</w:t>
      </w:r>
      <w:proofErr w:type="spellEnd"/>
      <w:r w:rsidRPr="004E74BE">
        <w:rPr>
          <w:rFonts w:ascii="Times New Roman" w:hAnsi="Times New Roman" w:cs="Times New Roman"/>
        </w:rPr>
        <w:t xml:space="preserve"> electrophoresis, rocket </w:t>
      </w:r>
      <w:proofErr w:type="spellStart"/>
      <w:r w:rsidRPr="004E74BE">
        <w:rPr>
          <w:rFonts w:ascii="Times New Roman" w:hAnsi="Times New Roman" w:cs="Times New Roman"/>
        </w:rPr>
        <w:t>immunoelectrophoresis</w:t>
      </w:r>
      <w:proofErr w:type="spellEnd"/>
      <w:r w:rsidRPr="004E74BE">
        <w:rPr>
          <w:rFonts w:ascii="Times New Roman" w:hAnsi="Times New Roman" w:cs="Times New Roman"/>
        </w:rPr>
        <w:t xml:space="preserve"> and </w:t>
      </w:r>
      <w:proofErr w:type="spellStart"/>
      <w:r w:rsidRPr="004E74BE">
        <w:rPr>
          <w:rFonts w:ascii="Times New Roman" w:hAnsi="Times New Roman" w:cs="Times New Roman"/>
        </w:rPr>
        <w:t>immunoblot</w:t>
      </w:r>
      <w:proofErr w:type="spellEnd"/>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Perform virtual electrophoresis and determine electrophoretic pattern.</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Identify and define common terms associated with immunoassays, including:  affinity, antibody, antigen, avidity, cross reactivity, epitope, hapten, monoclonal, polyclonal, postzone, prozone, specificity</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describe the principles of immunoassays including:  immune precipitation in gel, fluid-phase antigen-antibody complexes, radioimmunoassay, enzyme immunoassay, fluorescence immunoassay, luminescent immunoassay</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describe the classification of immunoassays as competitive versus noncompetitive</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describe the classification of immunoassays as homogenous versus heterogenous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describe three methods used to separate free labeled reagent from bound labeled reagent</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Identify and define common terms associated with nucleic acid probes, including:  amplicon, hybridization, nucleic acid probe</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describe the functions and chemical nature of DNA and RNA</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lastRenderedPageBreak/>
        <w:t>Briefly describe the classification of nucleic acid probe techniques as unamplified versus amplified </w:t>
      </w:r>
    </w:p>
    <w:p w:rsidR="00A2604B"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Perform automated immunoassay analysis and assess calibration, quality control and patient values.</w:t>
      </w:r>
    </w:p>
    <w:p w:rsidR="00DD1FE3" w:rsidRPr="004E74BE" w:rsidRDefault="00DD1FE3" w:rsidP="00E9692F">
      <w:pPr>
        <w:pStyle w:val="NormalWeb"/>
        <w:numPr>
          <w:ilvl w:val="0"/>
          <w:numId w:val="4"/>
        </w:numPr>
        <w:spacing w:before="0" w:beforeAutospacing="0" w:after="0" w:afterAutospacing="0"/>
        <w:rPr>
          <w:rFonts w:ascii="Times New Roman" w:hAnsi="Times New Roman" w:cs="Times New Roman"/>
        </w:rPr>
      </w:pPr>
      <w:r>
        <w:rPr>
          <w:rFonts w:ascii="Times New Roman" w:hAnsi="Times New Roman" w:cs="Times New Roman"/>
        </w:rPr>
        <w:t>Describe the various tests available for specialty testing in the laboratory:</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List and identify the hormones synthesized by the thyroid and chemical nature</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outline the normal physiology of the thyroid hormones as related to synthesis and regulation.</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List the common methods of analysis for thyroid hormones and briefly describe the basic principles of selected methods.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describe the clinical application of thyroid hormone analysis (e.g. hyperthyroidism, hypothyroidism, autoimmune thyroiditis, newborn screening).</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outline normal heme synthesis.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Discuss common methods of analysis for the porphyrins and briefly describe the basic principles of selected methods.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describe the clinical application of porphyrins analysis (e.g. porphyrinopathies; lead poisoning).</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Define drug, therapeutic range, state the purpose of therapeutic drug monitoring and laboratory applications of clinical pharmacology.</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List laboratory applications of forensic pharmacology.</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d</w:t>
      </w:r>
      <w:r w:rsidR="00E9692F">
        <w:rPr>
          <w:rFonts w:ascii="Times New Roman" w:hAnsi="Times New Roman" w:cs="Times New Roman"/>
        </w:rPr>
        <w:t xml:space="preserve">escribe the </w:t>
      </w:r>
      <w:r w:rsidRPr="004E74BE">
        <w:rPr>
          <w:rFonts w:ascii="Times New Roman" w:hAnsi="Times New Roman" w:cs="Times New Roman"/>
        </w:rPr>
        <w:t>factors affecting the blood level of an administered drug, define plasma half-life and steady state.</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summarize concepts of laboratory analysis for drugs, identify therapeutic application of selected drugs frequently monitored in the clinical setting, and drugs commonly encountered in acute intoxication and drug abuse screening.</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Define poison and list the major classes of poisons.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Define cancer and identify specific circulating tumor markers.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Identify the utilization of analysis of tumor markers in identifying and treatment of specific tumors.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Briefly summarize concepts of laboratory analysis of tumor markers and specific methodologies utilized in analysis of tumor markers.</w:t>
      </w:r>
    </w:p>
    <w:p w:rsidR="00A2604B" w:rsidRPr="004E74BE" w:rsidRDefault="00A2604B" w:rsidP="00E9692F">
      <w:pPr>
        <w:pStyle w:val="NormalWeb"/>
        <w:numPr>
          <w:ilvl w:val="1"/>
          <w:numId w:val="4"/>
        </w:numPr>
        <w:spacing w:before="0" w:beforeAutospacing="0" w:after="0" w:afterAutospacing="0"/>
        <w:rPr>
          <w:rFonts w:ascii="Times New Roman" w:hAnsi="Times New Roman" w:cs="Times New Roman"/>
        </w:rPr>
      </w:pPr>
      <w:r w:rsidRPr="004E74BE">
        <w:rPr>
          <w:rFonts w:ascii="Times New Roman" w:hAnsi="Times New Roman" w:cs="Times New Roman"/>
        </w:rPr>
        <w:t>Perform automated chemical analysis of thyroid hormones, therapeutic drugs and selected poisons and tumor markers (if available) and assess calibration, quality control and patient values.</w:t>
      </w:r>
    </w:p>
    <w:p w:rsidR="00A2604B" w:rsidRPr="004E74BE" w:rsidRDefault="00A2604B" w:rsidP="00A2604B">
      <w:pPr>
        <w:pStyle w:val="NormalWeb"/>
        <w:spacing w:before="0" w:beforeAutospacing="0" w:after="0" w:afterAutospacing="0"/>
        <w:rPr>
          <w:rFonts w:ascii="Times New Roman" w:hAnsi="Times New Roman" w:cs="Times New Roman"/>
        </w:rPr>
      </w:pPr>
    </w:p>
    <w:p w:rsidR="00A2604B" w:rsidRPr="004E74BE" w:rsidRDefault="00A2604B" w:rsidP="00A2604B">
      <w:pPr>
        <w:pStyle w:val="NormalWeb"/>
        <w:numPr>
          <w:ilvl w:val="0"/>
          <w:numId w:val="2"/>
        </w:numPr>
        <w:spacing w:before="0" w:beforeAutospacing="0" w:after="0" w:afterAutospacing="0"/>
        <w:rPr>
          <w:rFonts w:ascii="Times New Roman" w:hAnsi="Times New Roman" w:cs="Times New Roman"/>
          <w:b/>
          <w:bCs/>
        </w:rPr>
      </w:pPr>
      <w:r w:rsidRPr="004E74BE">
        <w:rPr>
          <w:rFonts w:ascii="Times New Roman" w:hAnsi="Times New Roman" w:cs="Times New Roman"/>
          <w:b/>
          <w:bCs/>
        </w:rPr>
        <w:t>INSTRUCTOR EXPECTATIONS OF STUDENTS IN CLASS</w:t>
      </w:r>
    </w:p>
    <w:p w:rsidR="00A2604B" w:rsidRPr="004E74BE" w:rsidRDefault="00A2604B" w:rsidP="00A2604B">
      <w:pPr>
        <w:ind w:left="-360"/>
      </w:pPr>
    </w:p>
    <w:p w:rsidR="00A2604B" w:rsidRPr="004E74BE" w:rsidRDefault="00A2604B" w:rsidP="00A2604B">
      <w:pPr>
        <w:pStyle w:val="ListParagraph"/>
        <w:numPr>
          <w:ilvl w:val="0"/>
          <w:numId w:val="2"/>
        </w:numPr>
      </w:pPr>
      <w:r w:rsidRPr="004E74BE">
        <w:rPr>
          <w:b/>
          <w:bCs/>
        </w:rPr>
        <w:t>TEXT AND OTHER REQUIRED MATERIALS</w:t>
      </w:r>
    </w:p>
    <w:p w:rsidR="00A2604B" w:rsidRPr="004E74BE" w:rsidRDefault="00A2604B" w:rsidP="00A2604B">
      <w:pPr>
        <w:ind w:left="-360"/>
      </w:pPr>
    </w:p>
    <w:p w:rsidR="00A2604B" w:rsidRPr="004E74BE" w:rsidRDefault="00A2604B" w:rsidP="00A2604B">
      <w:pPr>
        <w:pStyle w:val="Heading7"/>
        <w:numPr>
          <w:ilvl w:val="0"/>
          <w:numId w:val="2"/>
        </w:numPr>
        <w:rPr>
          <w:szCs w:val="24"/>
        </w:rPr>
      </w:pPr>
      <w:r w:rsidRPr="004E74BE">
        <w:rPr>
          <w:szCs w:val="24"/>
        </w:rPr>
        <w:t>REFERENCES</w:t>
      </w:r>
    </w:p>
    <w:p w:rsidR="00A2604B" w:rsidRPr="004E74BE" w:rsidRDefault="00A2604B" w:rsidP="00A2604B">
      <w:pPr>
        <w:ind w:left="-360"/>
      </w:pPr>
    </w:p>
    <w:p w:rsidR="00A2604B" w:rsidRPr="004E74BE" w:rsidRDefault="00A2604B" w:rsidP="00A2604B">
      <w:pPr>
        <w:pStyle w:val="ListParagraph"/>
        <w:numPr>
          <w:ilvl w:val="0"/>
          <w:numId w:val="2"/>
        </w:numPr>
        <w:rPr>
          <w:b/>
          <w:bCs/>
        </w:rPr>
      </w:pPr>
      <w:r w:rsidRPr="004E74BE">
        <w:rPr>
          <w:b/>
          <w:bCs/>
        </w:rPr>
        <w:t>METHODS OF INSTRUCTION AND EVALUATION</w:t>
      </w:r>
    </w:p>
    <w:p w:rsidR="00A2604B" w:rsidRPr="004E74BE" w:rsidRDefault="00A2604B" w:rsidP="00A2604B">
      <w:pPr>
        <w:ind w:left="-360"/>
      </w:pPr>
    </w:p>
    <w:p w:rsidR="00A2604B" w:rsidRPr="004E74BE" w:rsidRDefault="00A2604B" w:rsidP="00A2604B">
      <w:pPr>
        <w:pStyle w:val="Heading6"/>
        <w:numPr>
          <w:ilvl w:val="0"/>
          <w:numId w:val="2"/>
        </w:numPr>
        <w:rPr>
          <w:szCs w:val="24"/>
        </w:rPr>
      </w:pPr>
      <w:r w:rsidRPr="004E74BE">
        <w:rPr>
          <w:szCs w:val="24"/>
        </w:rPr>
        <w:t>ATTENDANCE REQUIREMENTS</w:t>
      </w:r>
    </w:p>
    <w:p w:rsidR="00A2604B" w:rsidRPr="004E74BE" w:rsidRDefault="00A2604B" w:rsidP="00A2604B">
      <w:pPr>
        <w:ind w:left="-360"/>
      </w:pPr>
    </w:p>
    <w:p w:rsidR="00A2604B" w:rsidRPr="004E74BE" w:rsidRDefault="00A2604B" w:rsidP="00A2604B">
      <w:pPr>
        <w:pStyle w:val="Heading1"/>
        <w:numPr>
          <w:ilvl w:val="0"/>
          <w:numId w:val="2"/>
        </w:numPr>
        <w:jc w:val="left"/>
        <w:rPr>
          <w:b/>
          <w:bCs/>
          <w:szCs w:val="24"/>
        </w:rPr>
      </w:pPr>
      <w:r w:rsidRPr="004E74BE">
        <w:rPr>
          <w:b/>
          <w:bCs/>
          <w:szCs w:val="24"/>
        </w:rPr>
        <w:lastRenderedPageBreak/>
        <w:t>COURSE OUTLINE</w:t>
      </w:r>
    </w:p>
    <w:p w:rsidR="00A2604B" w:rsidRPr="004E74BE" w:rsidRDefault="00A2604B" w:rsidP="00A2604B">
      <w:pPr>
        <w:pStyle w:val="Heading2"/>
        <w:rPr>
          <w:szCs w:val="24"/>
        </w:rPr>
      </w:pPr>
    </w:p>
    <w:p w:rsidR="00A2604B" w:rsidRPr="004E74BE" w:rsidRDefault="00A2604B" w:rsidP="00A2604B"/>
    <w:p w:rsidR="00A2604B" w:rsidRPr="004E74BE" w:rsidRDefault="00A2604B" w:rsidP="00A2604B"/>
    <w:p w:rsidR="00A2604B" w:rsidRPr="004E74BE" w:rsidRDefault="00A2604B" w:rsidP="00A2604B">
      <w:pPr>
        <w:jc w:val="center"/>
        <w:rPr>
          <w:b/>
        </w:rPr>
      </w:pPr>
      <w:r w:rsidRPr="004E74BE">
        <w:br w:type="page"/>
      </w:r>
      <w:r w:rsidRPr="004E74BE">
        <w:rPr>
          <w:b/>
        </w:rPr>
        <w:lastRenderedPageBreak/>
        <w:t>SYLLABUS ADDENDUM</w:t>
      </w:r>
    </w:p>
    <w:p w:rsidR="00A2604B" w:rsidRPr="004E74BE" w:rsidRDefault="00A2604B" w:rsidP="00A2604B">
      <w:pPr>
        <w:rPr>
          <w:snapToGrid w:val="0"/>
          <w:u w:val="single"/>
        </w:rPr>
      </w:pPr>
    </w:p>
    <w:p w:rsidR="00A2604B" w:rsidRPr="004E74BE" w:rsidRDefault="00A2604B" w:rsidP="00A2604B">
      <w:pPr>
        <w:rPr>
          <w:snapToGrid w:val="0"/>
        </w:rPr>
      </w:pPr>
      <w:r w:rsidRPr="004E74BE">
        <w:rPr>
          <w:snapToGrid w:val="0"/>
          <w:u w:val="single"/>
        </w:rPr>
        <w:t>Course Number</w:t>
      </w:r>
      <w:r w:rsidRPr="004E74BE">
        <w:rPr>
          <w:snapToGrid w:val="0"/>
        </w:rPr>
        <w:t xml:space="preserve">:  </w:t>
      </w:r>
      <w:r w:rsidRPr="004E74BE">
        <w:rPr>
          <w:snapToGrid w:val="0"/>
        </w:rPr>
        <w:tab/>
        <w:t>MLTC 1510</w:t>
      </w:r>
    </w:p>
    <w:p w:rsidR="00A2604B" w:rsidRPr="004E74BE" w:rsidRDefault="00A2604B" w:rsidP="00A2604B">
      <w:pPr>
        <w:rPr>
          <w:snapToGrid w:val="0"/>
        </w:rPr>
      </w:pPr>
      <w:r w:rsidRPr="004E74BE">
        <w:rPr>
          <w:snapToGrid w:val="0"/>
          <w:u w:val="single"/>
        </w:rPr>
        <w:t>Course Title</w:t>
      </w:r>
      <w:r w:rsidRPr="004E74BE">
        <w:rPr>
          <w:snapToGrid w:val="0"/>
        </w:rPr>
        <w:t xml:space="preserve">:  </w:t>
      </w:r>
      <w:r w:rsidRPr="004E74BE">
        <w:rPr>
          <w:snapToGrid w:val="0"/>
        </w:rPr>
        <w:tab/>
      </w:r>
      <w:r w:rsidRPr="004E74BE">
        <w:rPr>
          <w:snapToGrid w:val="0"/>
        </w:rPr>
        <w:tab/>
        <w:t>MLT:  Clinical Chemistry II</w:t>
      </w:r>
      <w:r w:rsidRPr="004E74BE">
        <w:rPr>
          <w:snapToGrid w:val="0"/>
        </w:rPr>
        <w:tab/>
      </w:r>
      <w:r w:rsidRPr="004E74BE">
        <w:rPr>
          <w:snapToGrid w:val="0"/>
        </w:rPr>
        <w:tab/>
      </w:r>
    </w:p>
    <w:p w:rsidR="00A2604B" w:rsidRPr="004E74BE" w:rsidRDefault="00A2604B" w:rsidP="00A2604B">
      <w:pPr>
        <w:rPr>
          <w:snapToGrid w:val="0"/>
        </w:rPr>
      </w:pPr>
      <w:r w:rsidRPr="004E74BE">
        <w:rPr>
          <w:snapToGrid w:val="0"/>
          <w:u w:val="single"/>
        </w:rPr>
        <w:t>Instructor</w:t>
      </w:r>
      <w:r w:rsidRPr="004E74BE">
        <w:rPr>
          <w:snapToGrid w:val="0"/>
        </w:rPr>
        <w:t xml:space="preserve">:  </w:t>
      </w:r>
      <w:r w:rsidRPr="004E74BE">
        <w:rPr>
          <w:snapToGrid w:val="0"/>
        </w:rPr>
        <w:tab/>
      </w:r>
      <w:r w:rsidRPr="004E74BE">
        <w:rPr>
          <w:snapToGrid w:val="0"/>
        </w:rPr>
        <w:tab/>
        <w:t xml:space="preserve">Louise Masden, MS, </w:t>
      </w:r>
      <w:proofErr w:type="gramStart"/>
      <w:r w:rsidRPr="004E74BE">
        <w:rPr>
          <w:snapToGrid w:val="0"/>
        </w:rPr>
        <w:t>MT(</w:t>
      </w:r>
      <w:proofErr w:type="gramEnd"/>
      <w:r w:rsidRPr="004E74BE">
        <w:rPr>
          <w:snapToGrid w:val="0"/>
        </w:rPr>
        <w:t>ASCP), RN</w:t>
      </w:r>
      <w:r w:rsidRPr="004E74BE">
        <w:rPr>
          <w:snapToGrid w:val="0"/>
        </w:rPr>
        <w:tab/>
      </w:r>
      <w:r w:rsidRPr="004E74BE">
        <w:rPr>
          <w:snapToGrid w:val="0"/>
        </w:rPr>
        <w:tab/>
      </w:r>
    </w:p>
    <w:p w:rsidR="00A2604B" w:rsidRPr="004E74BE" w:rsidRDefault="00A2604B" w:rsidP="00A2604B">
      <w:pPr>
        <w:rPr>
          <w:snapToGrid w:val="0"/>
        </w:rPr>
      </w:pPr>
      <w:r w:rsidRPr="004E74BE">
        <w:rPr>
          <w:snapToGrid w:val="0"/>
          <w:u w:val="single"/>
        </w:rPr>
        <w:t>Academic Term</w:t>
      </w:r>
      <w:r w:rsidRPr="004E74BE">
        <w:rPr>
          <w:snapToGrid w:val="0"/>
        </w:rPr>
        <w:t xml:space="preserve">: </w:t>
      </w:r>
      <w:r w:rsidRPr="004E74BE">
        <w:rPr>
          <w:snapToGrid w:val="0"/>
        </w:rPr>
        <w:tab/>
        <w:t>Spring 2008</w:t>
      </w:r>
    </w:p>
    <w:p w:rsidR="00A2604B" w:rsidRPr="004E74BE" w:rsidRDefault="00A2604B" w:rsidP="00A2604B"/>
    <w:p w:rsidR="00A2604B" w:rsidRPr="004E74BE" w:rsidRDefault="00A2604B" w:rsidP="00A2604B"/>
    <w:p w:rsidR="00A2604B" w:rsidRPr="004E74BE" w:rsidRDefault="00A2604B" w:rsidP="00A2604B">
      <w:pPr>
        <w:pStyle w:val="Heading1"/>
        <w:rPr>
          <w:b/>
          <w:szCs w:val="24"/>
        </w:rPr>
      </w:pPr>
      <w:r w:rsidRPr="004E74BE">
        <w:rPr>
          <w:b/>
          <w:szCs w:val="24"/>
        </w:rPr>
        <w:t>ADDENDUM TO SECTION III</w:t>
      </w:r>
    </w:p>
    <w:p w:rsidR="00A2604B" w:rsidRPr="004E74BE" w:rsidRDefault="00A2604B" w:rsidP="00A2604B"/>
    <w:p w:rsidR="00A2604B" w:rsidRPr="004E74BE" w:rsidRDefault="00A2604B" w:rsidP="00A2604B">
      <w:pPr>
        <w:pStyle w:val="Heading5"/>
        <w:rPr>
          <w:szCs w:val="24"/>
        </w:rPr>
      </w:pPr>
      <w:r w:rsidRPr="004E74BE">
        <w:rPr>
          <w:szCs w:val="24"/>
        </w:rPr>
        <w:t>Course Transferability to Regent Universities</w:t>
      </w:r>
    </w:p>
    <w:p w:rsidR="00A2604B" w:rsidRPr="004E74BE" w:rsidRDefault="00A2604B" w:rsidP="00A2604B"/>
    <w:p w:rsidR="00A2604B" w:rsidRPr="004E74BE" w:rsidRDefault="00A2604B" w:rsidP="00A2604B">
      <w:r w:rsidRPr="004E74BE">
        <w:rPr>
          <w:b/>
        </w:rPr>
        <w:t xml:space="preserve">MLTC 1511 </w:t>
      </w:r>
      <w:r w:rsidRPr="004E74BE">
        <w:t>at BCCC is equivalent to:</w:t>
      </w:r>
    </w:p>
    <w:p w:rsidR="00A2604B" w:rsidRPr="004E74BE" w:rsidRDefault="00A2604B" w:rsidP="00A260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690"/>
        <w:gridCol w:w="3510"/>
      </w:tblGrid>
      <w:tr w:rsidR="00A2604B" w:rsidRPr="004E74BE" w:rsidTr="00B0205C">
        <w:trPr>
          <w:trHeight w:val="480"/>
        </w:trPr>
        <w:tc>
          <w:tcPr>
            <w:tcW w:w="2358" w:type="dxa"/>
          </w:tcPr>
          <w:p w:rsidR="00A2604B" w:rsidRPr="004E74BE" w:rsidRDefault="00A2604B" w:rsidP="00B0205C">
            <w:pPr>
              <w:jc w:val="center"/>
            </w:pPr>
          </w:p>
          <w:p w:rsidR="00A2604B" w:rsidRPr="004E74BE" w:rsidRDefault="00A2604B" w:rsidP="00B0205C">
            <w:pPr>
              <w:jc w:val="center"/>
            </w:pPr>
            <w:r w:rsidRPr="004E74BE">
              <w:t>INSTITUTION</w:t>
            </w:r>
          </w:p>
        </w:tc>
        <w:tc>
          <w:tcPr>
            <w:tcW w:w="3690" w:type="dxa"/>
          </w:tcPr>
          <w:p w:rsidR="00A2604B" w:rsidRPr="004E74BE" w:rsidRDefault="00A2604B" w:rsidP="00B0205C">
            <w:pPr>
              <w:jc w:val="center"/>
            </w:pPr>
          </w:p>
          <w:p w:rsidR="00A2604B" w:rsidRPr="004E74BE" w:rsidRDefault="00A2604B" w:rsidP="00B0205C">
            <w:pPr>
              <w:jc w:val="center"/>
            </w:pPr>
            <w:r w:rsidRPr="004E74BE">
              <w:t xml:space="preserve">EQUIVALENT COURSE(s) </w:t>
            </w:r>
            <w:r w:rsidRPr="004E74BE">
              <w:rPr>
                <w:vertAlign w:val="superscript"/>
              </w:rPr>
              <w:t>a</w:t>
            </w:r>
          </w:p>
        </w:tc>
        <w:tc>
          <w:tcPr>
            <w:tcW w:w="3510" w:type="dxa"/>
          </w:tcPr>
          <w:p w:rsidR="00A2604B" w:rsidRPr="004E74BE" w:rsidRDefault="00A2604B" w:rsidP="00B0205C">
            <w:pPr>
              <w:jc w:val="center"/>
            </w:pPr>
          </w:p>
          <w:p w:rsidR="00A2604B" w:rsidRPr="004E74BE" w:rsidRDefault="00A2604B" w:rsidP="00B0205C">
            <w:pPr>
              <w:jc w:val="center"/>
            </w:pPr>
            <w:r w:rsidRPr="004E74BE">
              <w:t xml:space="preserve">SOURCE(s) OF INFORMATION </w:t>
            </w:r>
            <w:r w:rsidRPr="004E74BE">
              <w:rPr>
                <w:vertAlign w:val="superscript"/>
              </w:rPr>
              <w:t>b</w:t>
            </w:r>
          </w:p>
        </w:tc>
      </w:tr>
      <w:tr w:rsidR="00A2604B" w:rsidRPr="004E74BE" w:rsidTr="00B0205C">
        <w:trPr>
          <w:trHeight w:val="480"/>
        </w:trPr>
        <w:tc>
          <w:tcPr>
            <w:tcW w:w="2358" w:type="dxa"/>
          </w:tcPr>
          <w:p w:rsidR="00A2604B" w:rsidRPr="004E74BE" w:rsidRDefault="00A2604B" w:rsidP="00B0205C"/>
          <w:p w:rsidR="00A2604B" w:rsidRPr="004E74BE" w:rsidRDefault="00A2604B" w:rsidP="00B0205C">
            <w:r w:rsidRPr="004E74BE">
              <w:t>Emporia State University</w:t>
            </w:r>
          </w:p>
          <w:p w:rsidR="00A2604B" w:rsidRPr="004E74BE" w:rsidRDefault="00A2604B" w:rsidP="00B0205C"/>
        </w:tc>
        <w:tc>
          <w:tcPr>
            <w:tcW w:w="3690" w:type="dxa"/>
          </w:tcPr>
          <w:p w:rsidR="00A2604B" w:rsidRPr="004E74BE" w:rsidRDefault="00A2604B" w:rsidP="00B0205C"/>
          <w:p w:rsidR="00A2604B" w:rsidRPr="004E74BE" w:rsidRDefault="00A2604B" w:rsidP="00B0205C">
            <w:r w:rsidRPr="004E74BE">
              <w:t>Free elective</w:t>
            </w:r>
          </w:p>
        </w:tc>
        <w:tc>
          <w:tcPr>
            <w:tcW w:w="3510" w:type="dxa"/>
          </w:tcPr>
          <w:p w:rsidR="00A2604B" w:rsidRPr="004E74BE" w:rsidRDefault="00A2604B" w:rsidP="00B0205C">
            <w:r w:rsidRPr="004E74BE">
              <w:t>Transferring to ESU from BCCC</w:t>
            </w:r>
          </w:p>
          <w:p w:rsidR="00A2604B" w:rsidRPr="004E74BE" w:rsidRDefault="00A2604B" w:rsidP="00B0205C">
            <w:r w:rsidRPr="004E74BE">
              <w:t>Fall 1997</w:t>
            </w:r>
          </w:p>
        </w:tc>
      </w:tr>
      <w:tr w:rsidR="00A2604B" w:rsidRPr="004E74BE" w:rsidTr="00B0205C">
        <w:trPr>
          <w:trHeight w:val="480"/>
        </w:trPr>
        <w:tc>
          <w:tcPr>
            <w:tcW w:w="2358" w:type="dxa"/>
          </w:tcPr>
          <w:p w:rsidR="00A2604B" w:rsidRPr="004E74BE" w:rsidRDefault="00A2604B" w:rsidP="00B0205C"/>
          <w:p w:rsidR="00A2604B" w:rsidRPr="004E74BE" w:rsidRDefault="00A2604B" w:rsidP="00B0205C">
            <w:r w:rsidRPr="004E74BE">
              <w:t>Fort Hays State University</w:t>
            </w:r>
          </w:p>
          <w:p w:rsidR="00A2604B" w:rsidRPr="004E74BE" w:rsidRDefault="00A2604B" w:rsidP="00B0205C"/>
        </w:tc>
        <w:tc>
          <w:tcPr>
            <w:tcW w:w="3690" w:type="dxa"/>
          </w:tcPr>
          <w:p w:rsidR="00A2604B" w:rsidRPr="004E74BE" w:rsidRDefault="00A2604B" w:rsidP="00B0205C"/>
          <w:p w:rsidR="00A2604B" w:rsidRPr="004E74BE" w:rsidRDefault="00A2604B" w:rsidP="00B0205C">
            <w:r w:rsidRPr="004E74BE">
              <w:t>--</w:t>
            </w:r>
          </w:p>
        </w:tc>
        <w:tc>
          <w:tcPr>
            <w:tcW w:w="3510" w:type="dxa"/>
          </w:tcPr>
          <w:p w:rsidR="00A2604B" w:rsidRPr="004E74BE" w:rsidRDefault="00A2604B" w:rsidP="00B0205C">
            <w:r w:rsidRPr="004E74BE">
              <w:t>FHSU Course Equivalency System</w:t>
            </w:r>
          </w:p>
          <w:p w:rsidR="00A2604B" w:rsidRPr="004E74BE" w:rsidRDefault="00A2604B" w:rsidP="00B0205C">
            <w:r w:rsidRPr="004E74BE">
              <w:t>4-20-98</w:t>
            </w:r>
          </w:p>
        </w:tc>
      </w:tr>
      <w:tr w:rsidR="00A2604B" w:rsidRPr="004E74BE" w:rsidTr="00B0205C">
        <w:trPr>
          <w:trHeight w:val="480"/>
        </w:trPr>
        <w:tc>
          <w:tcPr>
            <w:tcW w:w="2358" w:type="dxa"/>
          </w:tcPr>
          <w:p w:rsidR="00A2604B" w:rsidRPr="004E74BE" w:rsidRDefault="00A2604B" w:rsidP="00B0205C"/>
          <w:p w:rsidR="00A2604B" w:rsidRPr="004E74BE" w:rsidRDefault="00A2604B" w:rsidP="00B0205C">
            <w:r w:rsidRPr="004E74BE">
              <w:t>Kansas State University</w:t>
            </w:r>
          </w:p>
          <w:p w:rsidR="00A2604B" w:rsidRPr="004E74BE" w:rsidRDefault="00A2604B" w:rsidP="00B0205C"/>
        </w:tc>
        <w:tc>
          <w:tcPr>
            <w:tcW w:w="3690" w:type="dxa"/>
          </w:tcPr>
          <w:p w:rsidR="00A2604B" w:rsidRPr="004E74BE" w:rsidRDefault="00A2604B" w:rsidP="00B0205C"/>
          <w:p w:rsidR="00A2604B" w:rsidRPr="004E74BE" w:rsidRDefault="00A2604B" w:rsidP="00B0205C">
            <w:r w:rsidRPr="004E74BE">
              <w:t>--</w:t>
            </w:r>
          </w:p>
          <w:p w:rsidR="00A2604B" w:rsidRPr="004E74BE" w:rsidRDefault="00A2604B" w:rsidP="00B0205C"/>
        </w:tc>
        <w:tc>
          <w:tcPr>
            <w:tcW w:w="3510" w:type="dxa"/>
          </w:tcPr>
          <w:p w:rsidR="00A2604B" w:rsidRPr="004E74BE" w:rsidRDefault="00A2604B" w:rsidP="00B0205C">
            <w:r w:rsidRPr="004E74BE">
              <w:t>KSU Website</w:t>
            </w:r>
          </w:p>
          <w:p w:rsidR="00A2604B" w:rsidRPr="004E74BE" w:rsidRDefault="00A2604B" w:rsidP="00B0205C">
            <w:r w:rsidRPr="004E74BE">
              <w:t>10-22-98 Update</w:t>
            </w:r>
          </w:p>
        </w:tc>
      </w:tr>
      <w:tr w:rsidR="00A2604B" w:rsidRPr="004E74BE" w:rsidTr="00B0205C">
        <w:trPr>
          <w:trHeight w:val="480"/>
        </w:trPr>
        <w:tc>
          <w:tcPr>
            <w:tcW w:w="2358" w:type="dxa"/>
          </w:tcPr>
          <w:p w:rsidR="00A2604B" w:rsidRPr="004E74BE" w:rsidRDefault="00A2604B" w:rsidP="00B0205C"/>
          <w:p w:rsidR="00A2604B" w:rsidRPr="004E74BE" w:rsidRDefault="00A2604B" w:rsidP="00B0205C">
            <w:r w:rsidRPr="004E74BE">
              <w:t>Pittsburg State University</w:t>
            </w:r>
          </w:p>
          <w:p w:rsidR="00A2604B" w:rsidRPr="004E74BE" w:rsidRDefault="00A2604B" w:rsidP="00B0205C"/>
        </w:tc>
        <w:tc>
          <w:tcPr>
            <w:tcW w:w="3690" w:type="dxa"/>
          </w:tcPr>
          <w:p w:rsidR="00A2604B" w:rsidRPr="004E74BE" w:rsidRDefault="00A2604B" w:rsidP="00B0205C"/>
          <w:p w:rsidR="00A2604B" w:rsidRPr="004E74BE" w:rsidRDefault="00A2604B" w:rsidP="00B0205C">
            <w:r w:rsidRPr="004E74BE">
              <w:t>General elective</w:t>
            </w:r>
          </w:p>
          <w:p w:rsidR="00A2604B" w:rsidRPr="004E74BE" w:rsidRDefault="00A2604B" w:rsidP="00B0205C"/>
        </w:tc>
        <w:tc>
          <w:tcPr>
            <w:tcW w:w="3510" w:type="dxa"/>
          </w:tcPr>
          <w:p w:rsidR="00A2604B" w:rsidRPr="004E74BE" w:rsidRDefault="00A2604B" w:rsidP="00B0205C">
            <w:r w:rsidRPr="004E74BE">
              <w:t>Transfer to Pittsburg State University</w:t>
            </w:r>
          </w:p>
          <w:p w:rsidR="00A2604B" w:rsidRPr="004E74BE" w:rsidRDefault="00A2604B" w:rsidP="00B0205C">
            <w:r w:rsidRPr="004E74BE">
              <w:t>Equivalency Guide for BCCC  09-97</w:t>
            </w:r>
          </w:p>
        </w:tc>
      </w:tr>
      <w:tr w:rsidR="00A2604B" w:rsidRPr="004E74BE" w:rsidTr="00B0205C">
        <w:trPr>
          <w:trHeight w:val="480"/>
        </w:trPr>
        <w:tc>
          <w:tcPr>
            <w:tcW w:w="2358" w:type="dxa"/>
          </w:tcPr>
          <w:p w:rsidR="00A2604B" w:rsidRPr="004E74BE" w:rsidRDefault="00A2604B" w:rsidP="00B0205C"/>
          <w:p w:rsidR="00A2604B" w:rsidRPr="004E74BE" w:rsidRDefault="00A2604B" w:rsidP="00B0205C">
            <w:r w:rsidRPr="004E74BE">
              <w:t>University of Kansas</w:t>
            </w:r>
          </w:p>
          <w:p w:rsidR="00A2604B" w:rsidRPr="004E74BE" w:rsidRDefault="00A2604B" w:rsidP="00B0205C"/>
        </w:tc>
        <w:tc>
          <w:tcPr>
            <w:tcW w:w="3690" w:type="dxa"/>
          </w:tcPr>
          <w:p w:rsidR="00A2604B" w:rsidRPr="004E74BE" w:rsidRDefault="00A2604B" w:rsidP="00B0205C"/>
          <w:p w:rsidR="00A2604B" w:rsidRPr="004E74BE" w:rsidRDefault="00A2604B" w:rsidP="00B0205C">
            <w:r w:rsidRPr="004E74BE">
              <w:t>--</w:t>
            </w:r>
          </w:p>
          <w:p w:rsidR="00A2604B" w:rsidRPr="004E74BE" w:rsidRDefault="00A2604B" w:rsidP="00B0205C"/>
        </w:tc>
        <w:tc>
          <w:tcPr>
            <w:tcW w:w="3510" w:type="dxa"/>
          </w:tcPr>
          <w:p w:rsidR="00A2604B" w:rsidRPr="004E74BE" w:rsidRDefault="00A2604B" w:rsidP="00B0205C">
            <w:r w:rsidRPr="004E74BE">
              <w:t>KU Website</w:t>
            </w:r>
          </w:p>
          <w:p w:rsidR="00A2604B" w:rsidRPr="004E74BE" w:rsidRDefault="00A2604B" w:rsidP="00B0205C">
            <w:r w:rsidRPr="004E74BE">
              <w:t>10-30-97 Update</w:t>
            </w:r>
          </w:p>
        </w:tc>
      </w:tr>
      <w:tr w:rsidR="00A2604B" w:rsidRPr="004E74BE" w:rsidTr="00B0205C">
        <w:trPr>
          <w:trHeight w:val="480"/>
        </w:trPr>
        <w:tc>
          <w:tcPr>
            <w:tcW w:w="2358" w:type="dxa"/>
          </w:tcPr>
          <w:p w:rsidR="00A2604B" w:rsidRPr="004E74BE" w:rsidRDefault="00A2604B" w:rsidP="00B0205C"/>
          <w:p w:rsidR="00A2604B" w:rsidRPr="004E74BE" w:rsidRDefault="00A2604B" w:rsidP="00B0205C">
            <w:r w:rsidRPr="004E74BE">
              <w:t>Wichita State University</w:t>
            </w:r>
          </w:p>
          <w:p w:rsidR="00A2604B" w:rsidRPr="004E74BE" w:rsidRDefault="00A2604B" w:rsidP="00B0205C"/>
        </w:tc>
        <w:tc>
          <w:tcPr>
            <w:tcW w:w="3690" w:type="dxa"/>
          </w:tcPr>
          <w:p w:rsidR="00A2604B" w:rsidRPr="004E74BE" w:rsidRDefault="00A2604B" w:rsidP="00B0205C"/>
          <w:p w:rsidR="00A2604B" w:rsidRPr="004E74BE" w:rsidRDefault="00A2604B" w:rsidP="00B0205C">
            <w:r w:rsidRPr="004E74BE">
              <w:t>Free elective</w:t>
            </w:r>
          </w:p>
          <w:p w:rsidR="00A2604B" w:rsidRPr="004E74BE" w:rsidRDefault="00A2604B" w:rsidP="00B0205C"/>
        </w:tc>
        <w:tc>
          <w:tcPr>
            <w:tcW w:w="3510" w:type="dxa"/>
          </w:tcPr>
          <w:p w:rsidR="00A2604B" w:rsidRPr="004E74BE" w:rsidRDefault="00A2604B" w:rsidP="00B0205C">
            <w:r w:rsidRPr="004E74BE">
              <w:t>Transfer Course Equivalencies</w:t>
            </w:r>
          </w:p>
          <w:p w:rsidR="00A2604B" w:rsidRPr="004E74BE" w:rsidRDefault="00A2604B" w:rsidP="00B0205C">
            <w:r w:rsidRPr="004E74BE">
              <w:t>BCCC to WSU  09-98</w:t>
            </w:r>
          </w:p>
        </w:tc>
      </w:tr>
    </w:tbl>
    <w:p w:rsidR="00A2604B" w:rsidRPr="004E74BE" w:rsidRDefault="00A2604B" w:rsidP="00A2604B"/>
    <w:p w:rsidR="00A2604B" w:rsidRPr="004E74BE" w:rsidRDefault="00A2604B" w:rsidP="00A2604B">
      <w:proofErr w:type="gramStart"/>
      <w:r w:rsidRPr="004E74BE">
        <w:rPr>
          <w:vertAlign w:val="superscript"/>
        </w:rPr>
        <w:t>a</w:t>
      </w:r>
      <w:proofErr w:type="gramEnd"/>
      <w:r w:rsidRPr="004E74BE">
        <w:tab/>
        <w:t>Highlighted (</w:t>
      </w:r>
      <w:r w:rsidRPr="004E74BE">
        <w:rPr>
          <w:b/>
        </w:rPr>
        <w:t>boldface</w:t>
      </w:r>
      <w:r w:rsidRPr="004E74BE">
        <w:t xml:space="preserve"> font) courses may be used at the institution to fulfill general education requirements.</w:t>
      </w:r>
    </w:p>
    <w:p w:rsidR="00A2604B" w:rsidRPr="004E74BE" w:rsidRDefault="00A2604B" w:rsidP="00A2604B">
      <w:proofErr w:type="gramStart"/>
      <w:r w:rsidRPr="004E74BE">
        <w:rPr>
          <w:vertAlign w:val="superscript"/>
        </w:rPr>
        <w:t>b</w:t>
      </w:r>
      <w:proofErr w:type="gramEnd"/>
      <w:r w:rsidRPr="004E74BE">
        <w:tab/>
        <w:t>Include both the name (location) and date of the source of information</w:t>
      </w:r>
    </w:p>
    <w:p w:rsidR="007F12DD" w:rsidRDefault="007F12DD"/>
    <w:sectPr w:rsidR="007F12DD" w:rsidSect="0030623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4CC6"/>
    <w:multiLevelType w:val="hybridMultilevel"/>
    <w:tmpl w:val="F8FC9378"/>
    <w:lvl w:ilvl="0" w:tplc="FE300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3853E6"/>
    <w:multiLevelType w:val="hybridMultilevel"/>
    <w:tmpl w:val="B144F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BD002B"/>
    <w:multiLevelType w:val="hybridMultilevel"/>
    <w:tmpl w:val="B84E0DFC"/>
    <w:lvl w:ilvl="0" w:tplc="D6400FE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E16792"/>
    <w:multiLevelType w:val="hybridMultilevel"/>
    <w:tmpl w:val="AD60E074"/>
    <w:lvl w:ilvl="0" w:tplc="28DCD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6A7913"/>
    <w:multiLevelType w:val="hybridMultilevel"/>
    <w:tmpl w:val="560C6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A91DBB"/>
    <w:multiLevelType w:val="singleLevel"/>
    <w:tmpl w:val="242C2466"/>
    <w:lvl w:ilvl="0">
      <w:start w:val="5"/>
      <w:numFmt w:val="upperRoman"/>
      <w:pStyle w:val="Heading6"/>
      <w:lvlText w:val="%1."/>
      <w:lvlJc w:val="left"/>
      <w:pPr>
        <w:tabs>
          <w:tab w:val="num" w:pos="720"/>
        </w:tabs>
        <w:ind w:left="720" w:hanging="720"/>
      </w:pPr>
      <w:rPr>
        <w:rFonts w:hint="default"/>
      </w:rPr>
    </w:lvl>
  </w:abstractNum>
  <w:abstractNum w:abstractNumId="6">
    <w:nsid w:val="7D835EAE"/>
    <w:multiLevelType w:val="hybridMultilevel"/>
    <w:tmpl w:val="90DE1756"/>
    <w:lvl w:ilvl="0" w:tplc="9020A2B8">
      <w:start w:val="1"/>
      <w:numFmt w:val="upperRoman"/>
      <w:lvlText w:val="%1."/>
      <w:lvlJc w:val="righ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4B"/>
    <w:rsid w:val="00306231"/>
    <w:rsid w:val="003A517F"/>
    <w:rsid w:val="00406E80"/>
    <w:rsid w:val="00503DC4"/>
    <w:rsid w:val="007B4ECC"/>
    <w:rsid w:val="007F12DD"/>
    <w:rsid w:val="00A2529E"/>
    <w:rsid w:val="00A2604B"/>
    <w:rsid w:val="00A40746"/>
    <w:rsid w:val="00B0205C"/>
    <w:rsid w:val="00BD098C"/>
    <w:rsid w:val="00C878ED"/>
    <w:rsid w:val="00D7466C"/>
    <w:rsid w:val="00DC7E88"/>
    <w:rsid w:val="00DD1FE3"/>
    <w:rsid w:val="00E9692F"/>
    <w:rsid w:val="00EE013D"/>
    <w:rsid w:val="00EE67AC"/>
    <w:rsid w:val="00F27534"/>
    <w:rsid w:val="00F655A2"/>
    <w:rsid w:val="00FC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0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604B"/>
    <w:pPr>
      <w:keepNext/>
      <w:jc w:val="center"/>
      <w:outlineLvl w:val="0"/>
    </w:pPr>
    <w:rPr>
      <w:szCs w:val="20"/>
    </w:rPr>
  </w:style>
  <w:style w:type="paragraph" w:styleId="Heading2">
    <w:name w:val="heading 2"/>
    <w:basedOn w:val="Normal"/>
    <w:next w:val="Normal"/>
    <w:link w:val="Heading2Char"/>
    <w:qFormat/>
    <w:rsid w:val="00A2604B"/>
    <w:pPr>
      <w:keepNext/>
      <w:outlineLvl w:val="1"/>
    </w:pPr>
    <w:rPr>
      <w:szCs w:val="20"/>
    </w:rPr>
  </w:style>
  <w:style w:type="paragraph" w:styleId="Heading5">
    <w:name w:val="heading 5"/>
    <w:basedOn w:val="Normal"/>
    <w:next w:val="Normal"/>
    <w:link w:val="Heading5Char"/>
    <w:qFormat/>
    <w:rsid w:val="00A2604B"/>
    <w:pPr>
      <w:keepNext/>
      <w:jc w:val="center"/>
      <w:outlineLvl w:val="4"/>
    </w:pPr>
    <w:rPr>
      <w:b/>
      <w:szCs w:val="20"/>
    </w:rPr>
  </w:style>
  <w:style w:type="paragraph" w:styleId="Heading6">
    <w:name w:val="heading 6"/>
    <w:basedOn w:val="Normal"/>
    <w:next w:val="Normal"/>
    <w:link w:val="Heading6Char"/>
    <w:qFormat/>
    <w:rsid w:val="00A2604B"/>
    <w:pPr>
      <w:keepNext/>
      <w:numPr>
        <w:numId w:val="1"/>
      </w:numPr>
      <w:outlineLvl w:val="5"/>
    </w:pPr>
    <w:rPr>
      <w:b/>
      <w:bCs/>
      <w:szCs w:val="20"/>
    </w:rPr>
  </w:style>
  <w:style w:type="paragraph" w:styleId="Heading7">
    <w:name w:val="heading 7"/>
    <w:basedOn w:val="Normal"/>
    <w:next w:val="Normal"/>
    <w:link w:val="Heading7Char"/>
    <w:qFormat/>
    <w:rsid w:val="00A2604B"/>
    <w:pPr>
      <w:keepNext/>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04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A2604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A2604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A2604B"/>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A2604B"/>
    <w:rPr>
      <w:rFonts w:ascii="Times New Roman" w:eastAsia="Times New Roman" w:hAnsi="Times New Roman" w:cs="Times New Roman"/>
      <w:b/>
      <w:bCs/>
      <w:sz w:val="24"/>
      <w:szCs w:val="20"/>
    </w:rPr>
  </w:style>
  <w:style w:type="paragraph" w:styleId="NormalWeb">
    <w:name w:val="Normal (Web)"/>
    <w:basedOn w:val="Normal"/>
    <w:rsid w:val="00A2604B"/>
    <w:pPr>
      <w:spacing w:before="100" w:beforeAutospacing="1" w:after="100" w:afterAutospacing="1"/>
    </w:pPr>
    <w:rPr>
      <w:rFonts w:ascii="Verdana" w:eastAsia="Arial Unicode MS" w:hAnsi="Verdana" w:cs="Arial Unicode MS"/>
      <w:color w:val="000000"/>
    </w:rPr>
  </w:style>
  <w:style w:type="paragraph" w:styleId="BodyText">
    <w:name w:val="Body Text"/>
    <w:basedOn w:val="Normal"/>
    <w:link w:val="BodyTextChar"/>
    <w:rsid w:val="00A2604B"/>
    <w:rPr>
      <w:szCs w:val="20"/>
    </w:rPr>
  </w:style>
  <w:style w:type="character" w:customStyle="1" w:styleId="BodyTextChar">
    <w:name w:val="Body Text Char"/>
    <w:basedOn w:val="DefaultParagraphFont"/>
    <w:link w:val="BodyText"/>
    <w:rsid w:val="00A2604B"/>
    <w:rPr>
      <w:rFonts w:ascii="Times New Roman" w:eastAsia="Times New Roman" w:hAnsi="Times New Roman" w:cs="Times New Roman"/>
      <w:sz w:val="24"/>
      <w:szCs w:val="20"/>
    </w:rPr>
  </w:style>
  <w:style w:type="paragraph" w:styleId="ListParagraph">
    <w:name w:val="List Paragraph"/>
    <w:basedOn w:val="Normal"/>
    <w:uiPriority w:val="34"/>
    <w:qFormat/>
    <w:rsid w:val="00A2604B"/>
    <w:pPr>
      <w:ind w:left="720"/>
      <w:contextualSpacing/>
    </w:pPr>
  </w:style>
  <w:style w:type="paragraph" w:styleId="BodyTextIndent">
    <w:name w:val="Body Text Indent"/>
    <w:basedOn w:val="Normal"/>
    <w:link w:val="BodyTextIndentChar"/>
    <w:uiPriority w:val="99"/>
    <w:unhideWhenUsed/>
    <w:rsid w:val="00B0205C"/>
    <w:pPr>
      <w:spacing w:after="120"/>
      <w:ind w:left="360"/>
    </w:pPr>
  </w:style>
  <w:style w:type="character" w:customStyle="1" w:styleId="BodyTextIndentChar">
    <w:name w:val="Body Text Indent Char"/>
    <w:basedOn w:val="DefaultParagraphFont"/>
    <w:link w:val="BodyTextIndent"/>
    <w:uiPriority w:val="99"/>
    <w:rsid w:val="00B0205C"/>
    <w:rPr>
      <w:rFonts w:ascii="Times New Roman" w:eastAsia="Times New Roman" w:hAnsi="Times New Roman" w:cs="Times New Roman"/>
      <w:sz w:val="24"/>
      <w:szCs w:val="24"/>
    </w:rPr>
  </w:style>
  <w:style w:type="paragraph" w:customStyle="1" w:styleId="Default">
    <w:name w:val="Default"/>
    <w:rsid w:val="00B0205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B020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0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604B"/>
    <w:pPr>
      <w:keepNext/>
      <w:jc w:val="center"/>
      <w:outlineLvl w:val="0"/>
    </w:pPr>
    <w:rPr>
      <w:szCs w:val="20"/>
    </w:rPr>
  </w:style>
  <w:style w:type="paragraph" w:styleId="Heading2">
    <w:name w:val="heading 2"/>
    <w:basedOn w:val="Normal"/>
    <w:next w:val="Normal"/>
    <w:link w:val="Heading2Char"/>
    <w:qFormat/>
    <w:rsid w:val="00A2604B"/>
    <w:pPr>
      <w:keepNext/>
      <w:outlineLvl w:val="1"/>
    </w:pPr>
    <w:rPr>
      <w:szCs w:val="20"/>
    </w:rPr>
  </w:style>
  <w:style w:type="paragraph" w:styleId="Heading5">
    <w:name w:val="heading 5"/>
    <w:basedOn w:val="Normal"/>
    <w:next w:val="Normal"/>
    <w:link w:val="Heading5Char"/>
    <w:qFormat/>
    <w:rsid w:val="00A2604B"/>
    <w:pPr>
      <w:keepNext/>
      <w:jc w:val="center"/>
      <w:outlineLvl w:val="4"/>
    </w:pPr>
    <w:rPr>
      <w:b/>
      <w:szCs w:val="20"/>
    </w:rPr>
  </w:style>
  <w:style w:type="paragraph" w:styleId="Heading6">
    <w:name w:val="heading 6"/>
    <w:basedOn w:val="Normal"/>
    <w:next w:val="Normal"/>
    <w:link w:val="Heading6Char"/>
    <w:qFormat/>
    <w:rsid w:val="00A2604B"/>
    <w:pPr>
      <w:keepNext/>
      <w:numPr>
        <w:numId w:val="1"/>
      </w:numPr>
      <w:outlineLvl w:val="5"/>
    </w:pPr>
    <w:rPr>
      <w:b/>
      <w:bCs/>
      <w:szCs w:val="20"/>
    </w:rPr>
  </w:style>
  <w:style w:type="paragraph" w:styleId="Heading7">
    <w:name w:val="heading 7"/>
    <w:basedOn w:val="Normal"/>
    <w:next w:val="Normal"/>
    <w:link w:val="Heading7Char"/>
    <w:qFormat/>
    <w:rsid w:val="00A2604B"/>
    <w:pPr>
      <w:keepNext/>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04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A2604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A2604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A2604B"/>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A2604B"/>
    <w:rPr>
      <w:rFonts w:ascii="Times New Roman" w:eastAsia="Times New Roman" w:hAnsi="Times New Roman" w:cs="Times New Roman"/>
      <w:b/>
      <w:bCs/>
      <w:sz w:val="24"/>
      <w:szCs w:val="20"/>
    </w:rPr>
  </w:style>
  <w:style w:type="paragraph" w:styleId="NormalWeb">
    <w:name w:val="Normal (Web)"/>
    <w:basedOn w:val="Normal"/>
    <w:rsid w:val="00A2604B"/>
    <w:pPr>
      <w:spacing w:before="100" w:beforeAutospacing="1" w:after="100" w:afterAutospacing="1"/>
    </w:pPr>
    <w:rPr>
      <w:rFonts w:ascii="Verdana" w:eastAsia="Arial Unicode MS" w:hAnsi="Verdana" w:cs="Arial Unicode MS"/>
      <w:color w:val="000000"/>
    </w:rPr>
  </w:style>
  <w:style w:type="paragraph" w:styleId="BodyText">
    <w:name w:val="Body Text"/>
    <w:basedOn w:val="Normal"/>
    <w:link w:val="BodyTextChar"/>
    <w:rsid w:val="00A2604B"/>
    <w:rPr>
      <w:szCs w:val="20"/>
    </w:rPr>
  </w:style>
  <w:style w:type="character" w:customStyle="1" w:styleId="BodyTextChar">
    <w:name w:val="Body Text Char"/>
    <w:basedOn w:val="DefaultParagraphFont"/>
    <w:link w:val="BodyText"/>
    <w:rsid w:val="00A2604B"/>
    <w:rPr>
      <w:rFonts w:ascii="Times New Roman" w:eastAsia="Times New Roman" w:hAnsi="Times New Roman" w:cs="Times New Roman"/>
      <w:sz w:val="24"/>
      <w:szCs w:val="20"/>
    </w:rPr>
  </w:style>
  <w:style w:type="paragraph" w:styleId="ListParagraph">
    <w:name w:val="List Paragraph"/>
    <w:basedOn w:val="Normal"/>
    <w:uiPriority w:val="34"/>
    <w:qFormat/>
    <w:rsid w:val="00A2604B"/>
    <w:pPr>
      <w:ind w:left="720"/>
      <w:contextualSpacing/>
    </w:pPr>
  </w:style>
  <w:style w:type="paragraph" w:styleId="BodyTextIndent">
    <w:name w:val="Body Text Indent"/>
    <w:basedOn w:val="Normal"/>
    <w:link w:val="BodyTextIndentChar"/>
    <w:uiPriority w:val="99"/>
    <w:unhideWhenUsed/>
    <w:rsid w:val="00B0205C"/>
    <w:pPr>
      <w:spacing w:after="120"/>
      <w:ind w:left="360"/>
    </w:pPr>
  </w:style>
  <w:style w:type="character" w:customStyle="1" w:styleId="BodyTextIndentChar">
    <w:name w:val="Body Text Indent Char"/>
    <w:basedOn w:val="DefaultParagraphFont"/>
    <w:link w:val="BodyTextIndent"/>
    <w:uiPriority w:val="99"/>
    <w:rsid w:val="00B0205C"/>
    <w:rPr>
      <w:rFonts w:ascii="Times New Roman" w:eastAsia="Times New Roman" w:hAnsi="Times New Roman" w:cs="Times New Roman"/>
      <w:sz w:val="24"/>
      <w:szCs w:val="24"/>
    </w:rPr>
  </w:style>
  <w:style w:type="paragraph" w:customStyle="1" w:styleId="Default">
    <w:name w:val="Default"/>
    <w:rsid w:val="00B0205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B020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icintegrity.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Masden, Louise</dc:creator>
  <cp:lastModifiedBy>Svoboda, Janae</cp:lastModifiedBy>
  <cp:revision>2</cp:revision>
  <dcterms:created xsi:type="dcterms:W3CDTF">2013-05-30T21:13:00Z</dcterms:created>
  <dcterms:modified xsi:type="dcterms:W3CDTF">2013-05-30T21:13:00Z</dcterms:modified>
</cp:coreProperties>
</file>