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1C7" w:rsidRPr="003B0149" w:rsidRDefault="009631C7" w:rsidP="009631C7">
      <w:pPr>
        <w:jc w:val="center"/>
        <w:rPr>
          <w:b/>
          <w:snapToGrid w:val="0"/>
          <w:sz w:val="24"/>
          <w:szCs w:val="24"/>
        </w:rPr>
      </w:pPr>
      <w:r w:rsidRPr="003B0149">
        <w:rPr>
          <w:b/>
          <w:snapToGrid w:val="0"/>
          <w:sz w:val="24"/>
          <w:szCs w:val="24"/>
        </w:rPr>
        <w:t>BARTON COMMUNITY COLLEGE</w:t>
      </w:r>
    </w:p>
    <w:p w:rsidR="009631C7" w:rsidRPr="003B0149" w:rsidRDefault="009631C7" w:rsidP="009631C7">
      <w:pPr>
        <w:pStyle w:val="Heading5"/>
        <w:rPr>
          <w:snapToGrid w:val="0"/>
          <w:szCs w:val="24"/>
        </w:rPr>
      </w:pPr>
      <w:r w:rsidRPr="003B0149">
        <w:rPr>
          <w:snapToGrid w:val="0"/>
          <w:szCs w:val="24"/>
        </w:rPr>
        <w:t>COURSE SYLLABUS</w:t>
      </w:r>
    </w:p>
    <w:p w:rsidR="009631C7" w:rsidRPr="003B0149" w:rsidRDefault="009631C7" w:rsidP="003C3734">
      <w:pPr>
        <w:pStyle w:val="Heading5"/>
        <w:jc w:val="left"/>
        <w:rPr>
          <w:i/>
          <w:snapToGrid w:val="0"/>
          <w:szCs w:val="24"/>
        </w:rPr>
      </w:pPr>
    </w:p>
    <w:p w:rsidR="009631C7" w:rsidRPr="003B0149" w:rsidRDefault="009631C7" w:rsidP="009631C7">
      <w:pPr>
        <w:rPr>
          <w:b/>
          <w:snapToGrid w:val="0"/>
          <w:sz w:val="24"/>
          <w:szCs w:val="24"/>
        </w:rPr>
      </w:pPr>
    </w:p>
    <w:p w:rsidR="009631C7" w:rsidRPr="003B0149" w:rsidRDefault="009631C7" w:rsidP="009631C7">
      <w:pPr>
        <w:pStyle w:val="Heading2"/>
        <w:numPr>
          <w:ilvl w:val="0"/>
          <w:numId w:val="1"/>
        </w:numPr>
        <w:ind w:left="360"/>
        <w:rPr>
          <w:szCs w:val="24"/>
        </w:rPr>
      </w:pPr>
      <w:r w:rsidRPr="003B0149">
        <w:rPr>
          <w:szCs w:val="24"/>
        </w:rPr>
        <w:t>GENERAL COURSE INFORMATION</w:t>
      </w:r>
    </w:p>
    <w:p w:rsidR="009631C7" w:rsidRPr="003B0149" w:rsidRDefault="009631C7" w:rsidP="009631C7">
      <w:pPr>
        <w:rPr>
          <w:snapToGrid w:val="0"/>
          <w:sz w:val="24"/>
          <w:szCs w:val="24"/>
        </w:rPr>
      </w:pPr>
    </w:p>
    <w:p w:rsidR="009631C7" w:rsidRPr="003B0149" w:rsidRDefault="009631C7" w:rsidP="009631C7">
      <w:pPr>
        <w:ind w:left="360"/>
        <w:rPr>
          <w:snapToGrid w:val="0"/>
          <w:sz w:val="24"/>
          <w:szCs w:val="24"/>
        </w:rPr>
      </w:pPr>
      <w:r w:rsidRPr="003B0149">
        <w:rPr>
          <w:snapToGrid w:val="0"/>
          <w:sz w:val="24"/>
          <w:szCs w:val="24"/>
          <w:u w:val="single"/>
        </w:rPr>
        <w:t>Course Number:</w:t>
      </w:r>
      <w:r w:rsidRPr="003B0149">
        <w:rPr>
          <w:snapToGrid w:val="0"/>
          <w:sz w:val="24"/>
          <w:szCs w:val="24"/>
        </w:rPr>
        <w:t xml:space="preserve">  </w:t>
      </w:r>
      <w:r w:rsidR="0070548F">
        <w:rPr>
          <w:snapToGrid w:val="0"/>
          <w:sz w:val="24"/>
          <w:szCs w:val="24"/>
        </w:rPr>
        <w:tab/>
      </w:r>
      <w:r w:rsidR="0070548F">
        <w:rPr>
          <w:snapToGrid w:val="0"/>
          <w:sz w:val="24"/>
          <w:szCs w:val="24"/>
        </w:rPr>
        <w:tab/>
      </w:r>
      <w:r w:rsidRPr="003B0149">
        <w:rPr>
          <w:snapToGrid w:val="0"/>
          <w:sz w:val="24"/>
          <w:szCs w:val="24"/>
        </w:rPr>
        <w:t>BUSI 1813</w:t>
      </w:r>
    </w:p>
    <w:p w:rsidR="009631C7" w:rsidRPr="003B0149" w:rsidRDefault="009631C7" w:rsidP="009631C7">
      <w:pPr>
        <w:ind w:left="360"/>
        <w:rPr>
          <w:snapToGrid w:val="0"/>
          <w:sz w:val="24"/>
          <w:szCs w:val="24"/>
        </w:rPr>
      </w:pPr>
      <w:r w:rsidRPr="003B0149">
        <w:rPr>
          <w:snapToGrid w:val="0"/>
          <w:sz w:val="24"/>
          <w:szCs w:val="24"/>
          <w:u w:val="single"/>
        </w:rPr>
        <w:t>Course Title:</w:t>
      </w:r>
      <w:r w:rsidRPr="003B0149">
        <w:rPr>
          <w:snapToGrid w:val="0"/>
          <w:sz w:val="24"/>
          <w:szCs w:val="24"/>
        </w:rPr>
        <w:tab/>
      </w:r>
      <w:r w:rsidR="0070548F">
        <w:rPr>
          <w:snapToGrid w:val="0"/>
          <w:sz w:val="24"/>
          <w:szCs w:val="24"/>
        </w:rPr>
        <w:tab/>
      </w:r>
      <w:r>
        <w:rPr>
          <w:snapToGrid w:val="0"/>
          <w:sz w:val="24"/>
          <w:szCs w:val="24"/>
        </w:rPr>
        <w:t xml:space="preserve">Retirement Plan Fundamentals II - </w:t>
      </w:r>
      <w:r w:rsidRPr="003B0149">
        <w:rPr>
          <w:snapToGrid w:val="0"/>
          <w:sz w:val="24"/>
          <w:szCs w:val="24"/>
        </w:rPr>
        <w:t>(RPF-2)</w:t>
      </w:r>
    </w:p>
    <w:p w:rsidR="009631C7" w:rsidRPr="003B0149" w:rsidRDefault="009631C7" w:rsidP="009631C7">
      <w:pPr>
        <w:ind w:left="360"/>
        <w:rPr>
          <w:snapToGrid w:val="0"/>
          <w:sz w:val="24"/>
          <w:szCs w:val="24"/>
        </w:rPr>
      </w:pPr>
      <w:r w:rsidRPr="003B0149">
        <w:rPr>
          <w:snapToGrid w:val="0"/>
          <w:sz w:val="24"/>
          <w:szCs w:val="24"/>
          <w:u w:val="single"/>
        </w:rPr>
        <w:t>Credit Hours:</w:t>
      </w:r>
      <w:r w:rsidRPr="003B0149">
        <w:rPr>
          <w:snapToGrid w:val="0"/>
          <w:sz w:val="24"/>
          <w:szCs w:val="24"/>
        </w:rPr>
        <w:tab/>
      </w:r>
      <w:r w:rsidR="0070548F">
        <w:rPr>
          <w:snapToGrid w:val="0"/>
          <w:sz w:val="24"/>
          <w:szCs w:val="24"/>
        </w:rPr>
        <w:tab/>
      </w:r>
      <w:r w:rsidRPr="003B0149">
        <w:rPr>
          <w:snapToGrid w:val="0"/>
          <w:sz w:val="24"/>
          <w:szCs w:val="24"/>
        </w:rPr>
        <w:t>2</w:t>
      </w:r>
    </w:p>
    <w:p w:rsidR="009631C7" w:rsidRPr="003B0149" w:rsidRDefault="009631C7" w:rsidP="009631C7">
      <w:pPr>
        <w:ind w:left="360"/>
        <w:rPr>
          <w:snapToGrid w:val="0"/>
          <w:sz w:val="24"/>
          <w:szCs w:val="24"/>
        </w:rPr>
      </w:pPr>
      <w:r w:rsidRPr="003B0149">
        <w:rPr>
          <w:snapToGrid w:val="0"/>
          <w:sz w:val="24"/>
          <w:szCs w:val="24"/>
          <w:u w:val="single"/>
        </w:rPr>
        <w:t>Prerequisites:</w:t>
      </w:r>
      <w:r w:rsidRPr="003B0149">
        <w:rPr>
          <w:snapToGrid w:val="0"/>
          <w:sz w:val="24"/>
          <w:szCs w:val="24"/>
        </w:rPr>
        <w:tab/>
      </w:r>
      <w:r w:rsidR="0070548F">
        <w:rPr>
          <w:snapToGrid w:val="0"/>
          <w:sz w:val="24"/>
          <w:szCs w:val="24"/>
        </w:rPr>
        <w:tab/>
      </w:r>
      <w:r>
        <w:rPr>
          <w:snapToGrid w:val="0"/>
          <w:sz w:val="24"/>
          <w:szCs w:val="24"/>
        </w:rPr>
        <w:t>BUSI 1812 Retirement Plan Fundamentals I</w:t>
      </w:r>
      <w:r w:rsidR="00AA2721">
        <w:rPr>
          <w:snapToGrid w:val="0"/>
          <w:sz w:val="24"/>
          <w:szCs w:val="24"/>
        </w:rPr>
        <w:t xml:space="preserve"> with a “C” or better</w:t>
      </w:r>
    </w:p>
    <w:p w:rsidR="009631C7" w:rsidRPr="003B0149" w:rsidRDefault="009631C7" w:rsidP="009631C7">
      <w:pPr>
        <w:ind w:left="360"/>
        <w:rPr>
          <w:snapToGrid w:val="0"/>
          <w:sz w:val="24"/>
          <w:szCs w:val="24"/>
        </w:rPr>
      </w:pPr>
      <w:r w:rsidRPr="003B0149">
        <w:rPr>
          <w:snapToGrid w:val="0"/>
          <w:sz w:val="24"/>
          <w:szCs w:val="24"/>
          <w:u w:val="single"/>
        </w:rPr>
        <w:t>Division/Discipline:</w:t>
      </w:r>
      <w:r w:rsidRPr="003B0149">
        <w:rPr>
          <w:snapToGrid w:val="0"/>
          <w:sz w:val="24"/>
          <w:szCs w:val="24"/>
        </w:rPr>
        <w:t xml:space="preserve">  </w:t>
      </w:r>
      <w:r w:rsidR="0070548F">
        <w:rPr>
          <w:snapToGrid w:val="0"/>
          <w:sz w:val="24"/>
          <w:szCs w:val="24"/>
        </w:rPr>
        <w:tab/>
      </w:r>
      <w:r w:rsidR="007C379B">
        <w:rPr>
          <w:snapToGrid w:val="0"/>
          <w:sz w:val="24"/>
          <w:szCs w:val="24"/>
        </w:rPr>
        <w:t>Workforce Training and Community Education/B</w:t>
      </w:r>
      <w:r w:rsidR="003C3734">
        <w:rPr>
          <w:snapToGrid w:val="0"/>
          <w:sz w:val="24"/>
          <w:szCs w:val="24"/>
        </w:rPr>
        <w:t xml:space="preserve">usiness </w:t>
      </w:r>
      <w:r w:rsidR="007C379B">
        <w:rPr>
          <w:snapToGrid w:val="0"/>
          <w:sz w:val="24"/>
          <w:szCs w:val="24"/>
        </w:rPr>
        <w:t>T</w:t>
      </w:r>
      <w:r w:rsidR="003C3734">
        <w:rPr>
          <w:snapToGrid w:val="0"/>
          <w:sz w:val="24"/>
          <w:szCs w:val="24"/>
        </w:rPr>
        <w:t xml:space="preserve">echnology &amp; Community </w:t>
      </w:r>
      <w:r w:rsidR="007C379B">
        <w:rPr>
          <w:snapToGrid w:val="0"/>
          <w:sz w:val="24"/>
          <w:szCs w:val="24"/>
        </w:rPr>
        <w:t>E</w:t>
      </w:r>
      <w:r w:rsidR="003C3734">
        <w:rPr>
          <w:snapToGrid w:val="0"/>
          <w:sz w:val="24"/>
          <w:szCs w:val="24"/>
        </w:rPr>
        <w:t>ducation</w:t>
      </w:r>
    </w:p>
    <w:p w:rsidR="009631C7" w:rsidRPr="003B0149" w:rsidRDefault="009631C7" w:rsidP="009631C7">
      <w:pPr>
        <w:ind w:left="360"/>
        <w:rPr>
          <w:snapToGrid w:val="0"/>
          <w:sz w:val="24"/>
          <w:szCs w:val="24"/>
        </w:rPr>
      </w:pPr>
      <w:r w:rsidRPr="003B0149">
        <w:rPr>
          <w:snapToGrid w:val="0"/>
          <w:sz w:val="24"/>
          <w:szCs w:val="24"/>
          <w:u w:val="single"/>
        </w:rPr>
        <w:t>Course Description:</w:t>
      </w:r>
      <w:r w:rsidRPr="003B0149">
        <w:rPr>
          <w:snapToGrid w:val="0"/>
          <w:sz w:val="24"/>
          <w:szCs w:val="24"/>
        </w:rPr>
        <w:t xml:space="preserve">   </w:t>
      </w:r>
      <w:r w:rsidR="0070548F">
        <w:rPr>
          <w:snapToGrid w:val="0"/>
          <w:sz w:val="24"/>
          <w:szCs w:val="24"/>
        </w:rPr>
        <w:tab/>
      </w:r>
      <w:r w:rsidRPr="003B0149">
        <w:rPr>
          <w:snapToGrid w:val="0"/>
          <w:sz w:val="24"/>
          <w:szCs w:val="24"/>
        </w:rPr>
        <w:t xml:space="preserve">This course provides students with a general background in qualified retirement plans and an awareness of the challenges of the retirement planning industry. </w:t>
      </w:r>
      <w:r w:rsidR="007C379B">
        <w:rPr>
          <w:snapToGrid w:val="0"/>
          <w:sz w:val="24"/>
          <w:szCs w:val="24"/>
        </w:rPr>
        <w:t>Stude</w:t>
      </w:r>
      <w:r w:rsidR="00292649">
        <w:rPr>
          <w:snapToGrid w:val="0"/>
          <w:sz w:val="24"/>
          <w:szCs w:val="24"/>
        </w:rPr>
        <w:t>n</w:t>
      </w:r>
      <w:r w:rsidR="007C379B">
        <w:rPr>
          <w:snapToGrid w:val="0"/>
          <w:sz w:val="24"/>
          <w:szCs w:val="24"/>
        </w:rPr>
        <w:t xml:space="preserve">ts will gain knowledge in plan terminology and issues </w:t>
      </w:r>
      <w:r w:rsidR="00292649">
        <w:rPr>
          <w:snapToGrid w:val="0"/>
          <w:sz w:val="24"/>
          <w:szCs w:val="24"/>
        </w:rPr>
        <w:t>i</w:t>
      </w:r>
      <w:r w:rsidR="007C379B">
        <w:rPr>
          <w:snapToGrid w:val="0"/>
          <w:sz w:val="24"/>
          <w:szCs w:val="24"/>
        </w:rPr>
        <w:t>n the retirement planning field.</w:t>
      </w:r>
    </w:p>
    <w:p w:rsidR="009631C7" w:rsidRPr="003B0149" w:rsidRDefault="009631C7" w:rsidP="009631C7">
      <w:pPr>
        <w:rPr>
          <w:snapToGrid w:val="0"/>
          <w:sz w:val="24"/>
          <w:szCs w:val="24"/>
        </w:rPr>
      </w:pPr>
    </w:p>
    <w:p w:rsidR="009631C7" w:rsidRPr="003B0149" w:rsidRDefault="009631C7" w:rsidP="009631C7">
      <w:pPr>
        <w:rPr>
          <w:b/>
          <w:snapToGrid w:val="0"/>
          <w:sz w:val="24"/>
          <w:szCs w:val="24"/>
        </w:rPr>
      </w:pPr>
    </w:p>
    <w:p w:rsidR="0070548F" w:rsidRDefault="003C3734" w:rsidP="0070548F">
      <w:pPr>
        <w:pStyle w:val="Heading2"/>
        <w:numPr>
          <w:ilvl w:val="0"/>
          <w:numId w:val="1"/>
        </w:numPr>
        <w:ind w:left="360"/>
        <w:rPr>
          <w:szCs w:val="24"/>
        </w:rPr>
      </w:pPr>
      <w:r>
        <w:rPr>
          <w:szCs w:val="24"/>
        </w:rPr>
        <w:t>INSTRUCTOR INFORMATION</w:t>
      </w:r>
    </w:p>
    <w:p w:rsidR="0070548F" w:rsidRDefault="0070548F" w:rsidP="0070548F">
      <w:pPr>
        <w:rPr>
          <w:rFonts w:eastAsiaTheme="minorHAnsi"/>
        </w:rPr>
      </w:pPr>
    </w:p>
    <w:p w:rsidR="0070548F" w:rsidRPr="0070548F" w:rsidRDefault="0070548F" w:rsidP="0070548F">
      <w:pPr>
        <w:rPr>
          <w:rFonts w:eastAsiaTheme="minorHAnsi"/>
        </w:rPr>
      </w:pPr>
    </w:p>
    <w:p w:rsidR="003C3734" w:rsidRDefault="003C3734" w:rsidP="0070548F">
      <w:pPr>
        <w:pStyle w:val="Heading2"/>
        <w:numPr>
          <w:ilvl w:val="0"/>
          <w:numId w:val="1"/>
        </w:numPr>
        <w:ind w:left="360"/>
        <w:rPr>
          <w:rFonts w:eastAsiaTheme="minorHAnsi"/>
          <w:bCs/>
          <w:color w:val="000000"/>
          <w:sz w:val="23"/>
          <w:szCs w:val="23"/>
        </w:rPr>
      </w:pPr>
      <w:r w:rsidRPr="0070548F">
        <w:rPr>
          <w:rFonts w:eastAsiaTheme="minorHAnsi"/>
          <w:bCs/>
          <w:color w:val="000000"/>
          <w:sz w:val="23"/>
          <w:szCs w:val="23"/>
        </w:rPr>
        <w:t>COLLEGE POLICIES</w:t>
      </w:r>
    </w:p>
    <w:p w:rsidR="0070548F" w:rsidRPr="0070548F" w:rsidRDefault="0070548F" w:rsidP="0070548F"/>
    <w:p w:rsidR="009631C7" w:rsidRPr="003B0149" w:rsidRDefault="009631C7" w:rsidP="009631C7">
      <w:pPr>
        <w:ind w:left="360"/>
        <w:rPr>
          <w:snapToGrid w:val="0"/>
          <w:sz w:val="24"/>
          <w:szCs w:val="24"/>
        </w:rPr>
      </w:pPr>
      <w:r w:rsidRPr="003B0149">
        <w:rPr>
          <w:snapToGrid w:val="0"/>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9631C7" w:rsidRPr="003B0149" w:rsidRDefault="009631C7" w:rsidP="009631C7">
      <w:pPr>
        <w:ind w:left="360"/>
        <w:rPr>
          <w:snapToGrid w:val="0"/>
          <w:sz w:val="24"/>
          <w:szCs w:val="24"/>
        </w:rPr>
      </w:pPr>
    </w:p>
    <w:p w:rsidR="00CE0CB3" w:rsidRDefault="00CE0CB3" w:rsidP="009631C7">
      <w:pPr>
        <w:ind w:left="360"/>
        <w:rPr>
          <w:snapToGrid w:val="0"/>
          <w:sz w:val="24"/>
          <w:szCs w:val="24"/>
        </w:rPr>
      </w:pPr>
      <w:r>
        <w:rPr>
          <w:snapToGrid w:val="0"/>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CE0CB3" w:rsidRDefault="00CE0CB3" w:rsidP="009631C7">
      <w:pPr>
        <w:ind w:left="360"/>
        <w:rPr>
          <w:snapToGrid w:val="0"/>
          <w:sz w:val="24"/>
          <w:szCs w:val="24"/>
        </w:rPr>
      </w:pPr>
    </w:p>
    <w:p w:rsidR="009631C7" w:rsidRPr="003B0149" w:rsidRDefault="009631C7" w:rsidP="009631C7">
      <w:pPr>
        <w:ind w:left="360"/>
        <w:rPr>
          <w:snapToGrid w:val="0"/>
          <w:sz w:val="24"/>
          <w:szCs w:val="24"/>
        </w:rPr>
      </w:pPr>
      <w:r w:rsidRPr="003B0149">
        <w:rPr>
          <w:snapToGrid w:val="0"/>
          <w:sz w:val="24"/>
          <w:szCs w:val="24"/>
        </w:rPr>
        <w:t xml:space="preserve">The College reserves the right to suspend a student for conduct that is detrimental to the College’s educational endeavors as </w:t>
      </w:r>
      <w:r w:rsidR="00CE0CB3">
        <w:rPr>
          <w:snapToGrid w:val="0"/>
          <w:sz w:val="24"/>
          <w:szCs w:val="24"/>
        </w:rPr>
        <w:t>outlined in the College Catalog, Student Handbook, and College Policy &amp; Procedure Manual.  (Most up-to-date documents are available on the College webpage.)</w:t>
      </w:r>
    </w:p>
    <w:p w:rsidR="009631C7" w:rsidRPr="003B0149" w:rsidRDefault="009631C7" w:rsidP="00CE0CB3">
      <w:pPr>
        <w:rPr>
          <w:snapToGrid w:val="0"/>
          <w:sz w:val="24"/>
          <w:szCs w:val="24"/>
        </w:rPr>
      </w:pPr>
    </w:p>
    <w:p w:rsidR="009631C7" w:rsidRDefault="00CE0CB3" w:rsidP="009631C7">
      <w:pPr>
        <w:pStyle w:val="BodyTextIndent"/>
        <w:ind w:left="360"/>
        <w:rPr>
          <w:szCs w:val="24"/>
        </w:rPr>
      </w:pPr>
      <w:r>
        <w:rPr>
          <w:szCs w:val="24"/>
        </w:rPr>
        <w:t xml:space="preserve">Any student </w:t>
      </w:r>
      <w:r w:rsidR="009631C7" w:rsidRPr="003B0149">
        <w:rPr>
          <w:szCs w:val="24"/>
        </w:rPr>
        <w:t>seeking an accommodation under provisions of the Americ</w:t>
      </w:r>
      <w:r>
        <w:rPr>
          <w:szCs w:val="24"/>
        </w:rPr>
        <w:t>ans with Disabilities Act is to</w:t>
      </w:r>
      <w:r w:rsidR="009631C7" w:rsidRPr="003B0149">
        <w:rPr>
          <w:szCs w:val="24"/>
        </w:rPr>
        <w:t xml:space="preserve"> </w:t>
      </w:r>
      <w:r>
        <w:rPr>
          <w:szCs w:val="24"/>
        </w:rPr>
        <w:t xml:space="preserve">notify Student Support Services via email at </w:t>
      </w:r>
      <w:hyperlink r:id="rId5" w:history="1">
        <w:r w:rsidRPr="00033F8A">
          <w:rPr>
            <w:rStyle w:val="Hyperlink"/>
            <w:szCs w:val="24"/>
          </w:rPr>
          <w:t>disabilityservices@bartonccc.edu</w:t>
        </w:r>
      </w:hyperlink>
      <w:r>
        <w:rPr>
          <w:szCs w:val="24"/>
        </w:rPr>
        <w:t>.</w:t>
      </w:r>
    </w:p>
    <w:p w:rsidR="00CE0CB3" w:rsidRPr="003B0149" w:rsidRDefault="00CE0CB3" w:rsidP="009631C7">
      <w:pPr>
        <w:pStyle w:val="BodyTextIndent"/>
        <w:ind w:left="360"/>
        <w:rPr>
          <w:szCs w:val="24"/>
        </w:rPr>
      </w:pPr>
    </w:p>
    <w:p w:rsidR="009631C7" w:rsidRPr="003B0149" w:rsidRDefault="009631C7" w:rsidP="009631C7">
      <w:pPr>
        <w:pStyle w:val="BodyTextIndent"/>
        <w:ind w:left="0"/>
        <w:rPr>
          <w:szCs w:val="24"/>
        </w:rPr>
      </w:pPr>
    </w:p>
    <w:p w:rsidR="009631C7" w:rsidRPr="003B0149" w:rsidRDefault="009631C7" w:rsidP="009631C7">
      <w:pPr>
        <w:pStyle w:val="Heading2"/>
        <w:numPr>
          <w:ilvl w:val="0"/>
          <w:numId w:val="1"/>
        </w:numPr>
        <w:ind w:left="360"/>
        <w:rPr>
          <w:szCs w:val="24"/>
        </w:rPr>
      </w:pPr>
      <w:r w:rsidRPr="003B0149">
        <w:rPr>
          <w:szCs w:val="24"/>
        </w:rPr>
        <w:t>COURSE AS VIEWED IN THE TOTAL CURRICULUM</w:t>
      </w:r>
    </w:p>
    <w:p w:rsidR="009631C7" w:rsidRPr="003B0149" w:rsidRDefault="009631C7" w:rsidP="009631C7">
      <w:pPr>
        <w:pStyle w:val="BodyTextIndent"/>
        <w:ind w:left="0"/>
        <w:rPr>
          <w:snapToGrid/>
          <w:szCs w:val="24"/>
        </w:rPr>
      </w:pPr>
    </w:p>
    <w:p w:rsidR="00A15019" w:rsidRDefault="009631C7" w:rsidP="00ED595F">
      <w:pPr>
        <w:pStyle w:val="Default"/>
        <w:ind w:left="360"/>
        <w:rPr>
          <w:rFonts w:ascii="Times New Roman" w:eastAsia="Times New Roman" w:hAnsi="Times New Roman" w:cs="Times New Roman"/>
          <w:color w:val="auto"/>
        </w:rPr>
      </w:pPr>
      <w:r w:rsidRPr="00292649">
        <w:rPr>
          <w:rFonts w:ascii="Times New Roman" w:eastAsia="Times New Roman" w:hAnsi="Times New Roman" w:cs="Times New Roman"/>
          <w:color w:val="auto"/>
        </w:rPr>
        <w:t xml:space="preserve">This course is designed as </w:t>
      </w:r>
      <w:r w:rsidR="00A15019">
        <w:rPr>
          <w:rFonts w:ascii="Times New Roman" w:eastAsia="Times New Roman" w:hAnsi="Times New Roman" w:cs="Times New Roman"/>
          <w:color w:val="auto"/>
        </w:rPr>
        <w:t xml:space="preserve">a </w:t>
      </w:r>
      <w:r w:rsidR="007C379B" w:rsidRPr="00292649">
        <w:rPr>
          <w:rFonts w:ascii="Times New Roman" w:eastAsia="Times New Roman" w:hAnsi="Times New Roman" w:cs="Times New Roman"/>
          <w:color w:val="auto"/>
        </w:rPr>
        <w:t>continuation of studies started with the Retirement Plan Fundamentals I coursework.</w:t>
      </w:r>
      <w:r w:rsidRPr="00292649">
        <w:rPr>
          <w:rFonts w:ascii="Times New Roman" w:eastAsia="Times New Roman" w:hAnsi="Times New Roman" w:cs="Times New Roman"/>
          <w:color w:val="auto"/>
        </w:rPr>
        <w:t xml:space="preserve">  </w:t>
      </w:r>
      <w:r w:rsidR="007C379B" w:rsidRPr="00292649">
        <w:rPr>
          <w:rFonts w:ascii="Times New Roman" w:eastAsia="Times New Roman" w:hAnsi="Times New Roman" w:cs="Times New Roman"/>
          <w:color w:val="auto"/>
        </w:rPr>
        <w:t xml:space="preserve">Each </w:t>
      </w:r>
      <w:r w:rsidR="00967FBD" w:rsidRPr="00292649">
        <w:rPr>
          <w:rFonts w:ascii="Times New Roman" w:eastAsia="Times New Roman" w:hAnsi="Times New Roman" w:cs="Times New Roman"/>
          <w:color w:val="auto"/>
        </w:rPr>
        <w:t>course</w:t>
      </w:r>
      <w:r w:rsidR="007C379B" w:rsidRPr="00292649">
        <w:rPr>
          <w:rFonts w:ascii="Times New Roman" w:eastAsia="Times New Roman" w:hAnsi="Times New Roman" w:cs="Times New Roman"/>
          <w:color w:val="auto"/>
        </w:rPr>
        <w:t xml:space="preserve"> is designed to build upon the groundwork established by the other while not duplicating content or presupposing</w:t>
      </w:r>
      <w:r w:rsidR="00ED595F">
        <w:rPr>
          <w:rFonts w:ascii="Times New Roman" w:eastAsia="Times New Roman" w:hAnsi="Times New Roman" w:cs="Times New Roman"/>
          <w:color w:val="auto"/>
        </w:rPr>
        <w:t xml:space="preserve"> knowledge or experience level.  </w:t>
      </w:r>
    </w:p>
    <w:p w:rsidR="00EC57A5" w:rsidRDefault="00EC57A5" w:rsidP="00ED595F">
      <w:pPr>
        <w:pStyle w:val="Default"/>
        <w:ind w:left="360"/>
        <w:rPr>
          <w:rFonts w:ascii="Times New Roman" w:eastAsia="Times New Roman" w:hAnsi="Times New Roman" w:cs="Times New Roman"/>
          <w:color w:val="auto"/>
        </w:rPr>
      </w:pPr>
      <w:bookmarkStart w:id="0" w:name="_GoBack"/>
      <w:bookmarkEnd w:id="0"/>
    </w:p>
    <w:p w:rsidR="009631C7" w:rsidRPr="00ED595F" w:rsidRDefault="00A15019" w:rsidP="00ED595F">
      <w:pPr>
        <w:pStyle w:val="Default"/>
        <w:ind w:left="360"/>
        <w:rPr>
          <w:rFonts w:ascii="Times New Roman" w:eastAsia="Times New Roman" w:hAnsi="Times New Roman" w:cs="Times New Roman"/>
          <w:color w:val="auto"/>
        </w:rPr>
      </w:pPr>
      <w:r>
        <w:rPr>
          <w:rFonts w:ascii="Times New Roman" w:eastAsia="Times New Roman" w:hAnsi="Times New Roman" w:cs="Times New Roman"/>
          <w:color w:val="auto"/>
        </w:rPr>
        <w:t xml:space="preserve">The </w:t>
      </w:r>
      <w:r>
        <w:rPr>
          <w:rFonts w:ascii="Times New Roman" w:hAnsi="Times New Roman" w:cs="Times New Roman"/>
        </w:rPr>
        <w:t>t</w:t>
      </w:r>
      <w:r w:rsidR="009631C7" w:rsidRPr="00ED595F">
        <w:rPr>
          <w:rFonts w:ascii="Times New Roman" w:hAnsi="Times New Roman" w:cs="Times New Roman"/>
        </w:rPr>
        <w:t xml:space="preserve">ransferability </w:t>
      </w:r>
      <w:r>
        <w:rPr>
          <w:rFonts w:ascii="Times New Roman" w:hAnsi="Times New Roman" w:cs="Times New Roman"/>
        </w:rPr>
        <w:t xml:space="preserve">of this course </w:t>
      </w:r>
      <w:r w:rsidR="009631C7" w:rsidRPr="00ED595F">
        <w:rPr>
          <w:rFonts w:ascii="Times New Roman" w:hAnsi="Times New Roman" w:cs="Times New Roman"/>
        </w:rPr>
        <w:t xml:space="preserve">varies among institutions, and perhaps even among departments, colleges or programs within an institution. Also, these requirements may change from time to time and without notification.  Therefore, it shall be the student’s responsibility to obtain relevant information from intended transfer institutions during </w:t>
      </w:r>
      <w:r w:rsidR="0011714F">
        <w:rPr>
          <w:rFonts w:ascii="Times New Roman" w:hAnsi="Times New Roman" w:cs="Times New Roman"/>
        </w:rPr>
        <w:t xml:space="preserve">his/her tenure at Barton </w:t>
      </w:r>
      <w:r w:rsidR="009631C7" w:rsidRPr="00ED595F">
        <w:rPr>
          <w:rFonts w:ascii="Times New Roman" w:hAnsi="Times New Roman" w:cs="Times New Roman"/>
        </w:rPr>
        <w:t>Community College to insure that he/she enrolls in the most appropriate set of courses for transferability.</w:t>
      </w:r>
    </w:p>
    <w:p w:rsidR="009631C7" w:rsidRPr="003B0149" w:rsidRDefault="009631C7" w:rsidP="009631C7">
      <w:pPr>
        <w:rPr>
          <w:sz w:val="24"/>
          <w:szCs w:val="24"/>
        </w:rPr>
      </w:pPr>
    </w:p>
    <w:p w:rsidR="009631C7" w:rsidRPr="003B0149" w:rsidRDefault="009631C7" w:rsidP="009631C7">
      <w:pPr>
        <w:rPr>
          <w:sz w:val="24"/>
          <w:szCs w:val="24"/>
        </w:rPr>
      </w:pPr>
    </w:p>
    <w:p w:rsidR="009631C7" w:rsidRPr="00AF7E68" w:rsidRDefault="009631C7" w:rsidP="00AF7E68">
      <w:pPr>
        <w:pStyle w:val="ListParagraph"/>
        <w:numPr>
          <w:ilvl w:val="0"/>
          <w:numId w:val="1"/>
        </w:numPr>
        <w:ind w:left="360"/>
        <w:rPr>
          <w:b/>
          <w:snapToGrid w:val="0"/>
          <w:sz w:val="24"/>
          <w:szCs w:val="24"/>
        </w:rPr>
      </w:pPr>
      <w:r w:rsidRPr="003B0149">
        <w:rPr>
          <w:b/>
          <w:sz w:val="24"/>
          <w:szCs w:val="24"/>
        </w:rPr>
        <w:lastRenderedPageBreak/>
        <w:t>A</w:t>
      </w:r>
      <w:r w:rsidR="00AF7E68">
        <w:rPr>
          <w:b/>
          <w:sz w:val="24"/>
          <w:szCs w:val="24"/>
        </w:rPr>
        <w:t xml:space="preserve">SSESSMENT OF STUDENT LEARNING </w:t>
      </w:r>
    </w:p>
    <w:p w:rsidR="009631C7" w:rsidRPr="003B0149" w:rsidRDefault="009631C7" w:rsidP="009631C7">
      <w:pPr>
        <w:rPr>
          <w:sz w:val="24"/>
          <w:szCs w:val="24"/>
        </w:rPr>
      </w:pPr>
    </w:p>
    <w:p w:rsidR="009631C7" w:rsidRDefault="009631C7" w:rsidP="009631C7">
      <w:pPr>
        <w:ind w:left="360"/>
        <w:rPr>
          <w:sz w:val="24"/>
          <w:szCs w:val="24"/>
        </w:rPr>
      </w:pPr>
      <w:r w:rsidRPr="003B0149">
        <w:rPr>
          <w:sz w:val="24"/>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A15019" w:rsidRDefault="00A15019" w:rsidP="009631C7">
      <w:pPr>
        <w:ind w:left="360"/>
        <w:rPr>
          <w:sz w:val="24"/>
          <w:szCs w:val="24"/>
        </w:rPr>
      </w:pPr>
    </w:p>
    <w:p w:rsidR="00A15019" w:rsidRDefault="0070548F" w:rsidP="009631C7">
      <w:pPr>
        <w:ind w:left="360"/>
        <w:rPr>
          <w:sz w:val="24"/>
          <w:szCs w:val="24"/>
        </w:rPr>
      </w:pPr>
      <w:r w:rsidRPr="0070548F">
        <w:rPr>
          <w:sz w:val="24"/>
          <w:szCs w:val="24"/>
          <w:u w:val="single"/>
        </w:rPr>
        <w:t>Course Outcomes, Competencies, and Supplemental Competencies</w:t>
      </w:r>
      <w:r>
        <w:rPr>
          <w:sz w:val="24"/>
          <w:szCs w:val="24"/>
        </w:rPr>
        <w:t>:</w:t>
      </w:r>
    </w:p>
    <w:p w:rsidR="0070548F" w:rsidRPr="003B0149" w:rsidRDefault="0070548F" w:rsidP="009631C7">
      <w:pPr>
        <w:ind w:left="360"/>
        <w:rPr>
          <w:sz w:val="24"/>
          <w:szCs w:val="24"/>
        </w:rPr>
      </w:pPr>
    </w:p>
    <w:p w:rsidR="009631C7" w:rsidRPr="003B0149" w:rsidRDefault="00A15019" w:rsidP="009631C7">
      <w:pPr>
        <w:ind w:left="360"/>
        <w:rPr>
          <w:sz w:val="24"/>
          <w:szCs w:val="24"/>
        </w:rPr>
      </w:pPr>
      <w:r>
        <w:rPr>
          <w:sz w:val="24"/>
          <w:szCs w:val="24"/>
        </w:rPr>
        <w:t xml:space="preserve">A.  </w:t>
      </w:r>
      <w:r w:rsidR="009631C7" w:rsidRPr="003B0149">
        <w:rPr>
          <w:sz w:val="24"/>
          <w:szCs w:val="24"/>
        </w:rPr>
        <w:t xml:space="preserve">Explain the </w:t>
      </w:r>
      <w:r w:rsidR="0060567C">
        <w:rPr>
          <w:sz w:val="24"/>
          <w:szCs w:val="24"/>
        </w:rPr>
        <w:t>data necessary to properly administer a retirement plan.</w:t>
      </w:r>
    </w:p>
    <w:p w:rsidR="009631C7" w:rsidRPr="003B0149" w:rsidRDefault="009631C7" w:rsidP="009631C7">
      <w:pPr>
        <w:pStyle w:val="ListParagraph"/>
        <w:numPr>
          <w:ilvl w:val="0"/>
          <w:numId w:val="2"/>
        </w:numPr>
        <w:rPr>
          <w:sz w:val="24"/>
          <w:szCs w:val="24"/>
        </w:rPr>
      </w:pPr>
      <w:r w:rsidRPr="003B0149">
        <w:rPr>
          <w:sz w:val="24"/>
          <w:szCs w:val="24"/>
        </w:rPr>
        <w:t>List the documents to be collected to serve as the basis for plan administration</w:t>
      </w:r>
    </w:p>
    <w:p w:rsidR="009631C7" w:rsidRPr="003B0149" w:rsidRDefault="009631C7" w:rsidP="009631C7">
      <w:pPr>
        <w:pStyle w:val="ListParagraph"/>
        <w:numPr>
          <w:ilvl w:val="0"/>
          <w:numId w:val="2"/>
        </w:numPr>
        <w:rPr>
          <w:sz w:val="24"/>
          <w:szCs w:val="24"/>
        </w:rPr>
      </w:pPr>
      <w:r w:rsidRPr="003B0149">
        <w:rPr>
          <w:sz w:val="24"/>
          <w:szCs w:val="24"/>
        </w:rPr>
        <w:t xml:space="preserve">List the </w:t>
      </w:r>
      <w:r w:rsidR="00FA12CA">
        <w:rPr>
          <w:sz w:val="24"/>
          <w:szCs w:val="24"/>
        </w:rPr>
        <w:t xml:space="preserve">information needed to have complete employee census data </w:t>
      </w:r>
      <w:r w:rsidRPr="003B0149">
        <w:rPr>
          <w:sz w:val="24"/>
          <w:szCs w:val="24"/>
        </w:rPr>
        <w:t>and the steps involved in evaluating its validity</w:t>
      </w:r>
    </w:p>
    <w:p w:rsidR="009631C7" w:rsidRPr="003B0149" w:rsidRDefault="00FA12CA" w:rsidP="009631C7">
      <w:pPr>
        <w:pStyle w:val="ListParagraph"/>
        <w:numPr>
          <w:ilvl w:val="0"/>
          <w:numId w:val="2"/>
        </w:numPr>
        <w:rPr>
          <w:sz w:val="24"/>
          <w:szCs w:val="24"/>
        </w:rPr>
      </w:pPr>
      <w:r>
        <w:rPr>
          <w:sz w:val="24"/>
          <w:szCs w:val="24"/>
        </w:rPr>
        <w:t>Define</w:t>
      </w:r>
      <w:r w:rsidR="009631C7" w:rsidRPr="003B0149">
        <w:rPr>
          <w:sz w:val="24"/>
          <w:szCs w:val="24"/>
        </w:rPr>
        <w:t xml:space="preserve"> key employees </w:t>
      </w:r>
      <w:r>
        <w:rPr>
          <w:sz w:val="24"/>
          <w:szCs w:val="24"/>
        </w:rPr>
        <w:t xml:space="preserve">and be able to identify them </w:t>
      </w:r>
      <w:r w:rsidR="009631C7" w:rsidRPr="003B0149">
        <w:rPr>
          <w:sz w:val="24"/>
          <w:szCs w:val="24"/>
        </w:rPr>
        <w:t>from a list of employees and census data</w:t>
      </w:r>
    </w:p>
    <w:p w:rsidR="009631C7" w:rsidRDefault="009631C7" w:rsidP="009631C7">
      <w:pPr>
        <w:pStyle w:val="ListParagraph"/>
        <w:numPr>
          <w:ilvl w:val="0"/>
          <w:numId w:val="2"/>
        </w:numPr>
        <w:rPr>
          <w:sz w:val="24"/>
          <w:szCs w:val="24"/>
        </w:rPr>
      </w:pPr>
      <w:r w:rsidRPr="003B0149">
        <w:rPr>
          <w:sz w:val="24"/>
          <w:szCs w:val="24"/>
        </w:rPr>
        <w:t xml:space="preserve">Identify the effect of </w:t>
      </w:r>
      <w:r w:rsidR="00FA12CA">
        <w:rPr>
          <w:sz w:val="24"/>
          <w:szCs w:val="24"/>
        </w:rPr>
        <w:t>IRC Section 318 at</w:t>
      </w:r>
      <w:r w:rsidR="00135DFB">
        <w:rPr>
          <w:sz w:val="24"/>
          <w:szCs w:val="24"/>
        </w:rPr>
        <w:t>tribution rules on key employee ownership</w:t>
      </w:r>
    </w:p>
    <w:p w:rsidR="00135DFB" w:rsidRPr="003B0149" w:rsidRDefault="00135DFB" w:rsidP="009631C7">
      <w:pPr>
        <w:pStyle w:val="ListParagraph"/>
        <w:numPr>
          <w:ilvl w:val="0"/>
          <w:numId w:val="2"/>
        </w:numPr>
        <w:rPr>
          <w:sz w:val="24"/>
          <w:szCs w:val="24"/>
        </w:rPr>
      </w:pPr>
      <w:r>
        <w:rPr>
          <w:sz w:val="24"/>
          <w:szCs w:val="24"/>
        </w:rPr>
        <w:t>Define an HCE.</w:t>
      </w:r>
    </w:p>
    <w:p w:rsidR="009631C7" w:rsidRDefault="009631C7" w:rsidP="009631C7">
      <w:pPr>
        <w:pStyle w:val="ListParagraph"/>
        <w:numPr>
          <w:ilvl w:val="0"/>
          <w:numId w:val="2"/>
        </w:numPr>
        <w:rPr>
          <w:sz w:val="24"/>
          <w:szCs w:val="24"/>
        </w:rPr>
      </w:pPr>
      <w:r w:rsidRPr="003B0149">
        <w:rPr>
          <w:sz w:val="24"/>
          <w:szCs w:val="24"/>
        </w:rPr>
        <w:t>Identify H</w:t>
      </w:r>
      <w:r w:rsidR="00135DFB">
        <w:rPr>
          <w:sz w:val="24"/>
          <w:szCs w:val="24"/>
        </w:rPr>
        <w:t>CEs</w:t>
      </w:r>
      <w:r w:rsidRPr="003B0149">
        <w:rPr>
          <w:sz w:val="24"/>
          <w:szCs w:val="24"/>
        </w:rPr>
        <w:t xml:space="preserve"> from a list of employees and census data</w:t>
      </w:r>
    </w:p>
    <w:p w:rsidR="00466ABE" w:rsidRPr="003B0149" w:rsidRDefault="00466ABE" w:rsidP="00466ABE">
      <w:pPr>
        <w:pStyle w:val="ListParagraph"/>
        <w:rPr>
          <w:sz w:val="24"/>
          <w:szCs w:val="24"/>
        </w:rPr>
      </w:pPr>
    </w:p>
    <w:p w:rsidR="009631C7" w:rsidRPr="003B0149" w:rsidRDefault="00E21E17" w:rsidP="009631C7">
      <w:pPr>
        <w:ind w:left="360"/>
        <w:rPr>
          <w:sz w:val="24"/>
          <w:szCs w:val="24"/>
        </w:rPr>
      </w:pPr>
      <w:r>
        <w:rPr>
          <w:sz w:val="24"/>
          <w:szCs w:val="24"/>
        </w:rPr>
        <w:t xml:space="preserve">B.  </w:t>
      </w:r>
      <w:r w:rsidR="009631C7" w:rsidRPr="003B0149">
        <w:rPr>
          <w:sz w:val="24"/>
          <w:szCs w:val="24"/>
        </w:rPr>
        <w:t xml:space="preserve">Define </w:t>
      </w:r>
      <w:r w:rsidR="0060567C">
        <w:rPr>
          <w:sz w:val="24"/>
          <w:szCs w:val="24"/>
        </w:rPr>
        <w:t>defined contribution plan allocations and limits to such allocations.</w:t>
      </w:r>
      <w:r w:rsidR="00466ABE">
        <w:rPr>
          <w:sz w:val="24"/>
          <w:szCs w:val="24"/>
        </w:rPr>
        <w:t xml:space="preserve"> </w:t>
      </w:r>
    </w:p>
    <w:p w:rsidR="009631C7" w:rsidRPr="003B0149" w:rsidRDefault="009631C7" w:rsidP="009631C7">
      <w:pPr>
        <w:pStyle w:val="ListParagraph"/>
        <w:numPr>
          <w:ilvl w:val="0"/>
          <w:numId w:val="3"/>
        </w:numPr>
        <w:rPr>
          <w:sz w:val="24"/>
          <w:szCs w:val="24"/>
        </w:rPr>
      </w:pPr>
      <w:r w:rsidRPr="003B0149">
        <w:rPr>
          <w:sz w:val="24"/>
          <w:szCs w:val="24"/>
        </w:rPr>
        <w:t>Explain the concept of forfeitures</w:t>
      </w:r>
      <w:r w:rsidR="00CD2A98">
        <w:rPr>
          <w:sz w:val="24"/>
          <w:szCs w:val="24"/>
        </w:rPr>
        <w:t xml:space="preserve"> </w:t>
      </w:r>
    </w:p>
    <w:p w:rsidR="009631C7" w:rsidRPr="003B0149" w:rsidRDefault="009631C7" w:rsidP="009631C7">
      <w:pPr>
        <w:pStyle w:val="ListParagraph"/>
        <w:numPr>
          <w:ilvl w:val="0"/>
          <w:numId w:val="3"/>
        </w:numPr>
        <w:rPr>
          <w:sz w:val="24"/>
          <w:szCs w:val="24"/>
        </w:rPr>
      </w:pPr>
      <w:r w:rsidRPr="003B0149">
        <w:rPr>
          <w:sz w:val="24"/>
          <w:szCs w:val="24"/>
        </w:rPr>
        <w:t xml:space="preserve">Describe </w:t>
      </w:r>
      <w:r>
        <w:rPr>
          <w:sz w:val="24"/>
          <w:szCs w:val="24"/>
        </w:rPr>
        <w:t>how forfeitures may be used</w:t>
      </w:r>
      <w:r w:rsidRPr="003B0149">
        <w:rPr>
          <w:sz w:val="24"/>
          <w:szCs w:val="24"/>
        </w:rPr>
        <w:t xml:space="preserve"> each year in a defined contribution plan</w:t>
      </w:r>
    </w:p>
    <w:p w:rsidR="009631C7" w:rsidRPr="003B0149" w:rsidRDefault="009631C7" w:rsidP="009631C7">
      <w:pPr>
        <w:pStyle w:val="ListParagraph"/>
        <w:numPr>
          <w:ilvl w:val="0"/>
          <w:numId w:val="3"/>
        </w:numPr>
        <w:rPr>
          <w:sz w:val="24"/>
          <w:szCs w:val="24"/>
        </w:rPr>
      </w:pPr>
      <w:r w:rsidRPr="003B0149">
        <w:rPr>
          <w:sz w:val="24"/>
          <w:szCs w:val="24"/>
        </w:rPr>
        <w:t xml:space="preserve">Calculate a basic contribution allocation using a </w:t>
      </w:r>
      <w:r w:rsidRPr="00544E86">
        <w:rPr>
          <w:i/>
          <w:sz w:val="24"/>
          <w:szCs w:val="24"/>
        </w:rPr>
        <w:t>pro-rata</w:t>
      </w:r>
      <w:r w:rsidRPr="003B0149">
        <w:rPr>
          <w:sz w:val="24"/>
          <w:szCs w:val="24"/>
        </w:rPr>
        <w:t xml:space="preserve"> formula</w:t>
      </w:r>
    </w:p>
    <w:p w:rsidR="009631C7" w:rsidRPr="003B0149" w:rsidRDefault="009631C7" w:rsidP="009631C7">
      <w:pPr>
        <w:pStyle w:val="ListParagraph"/>
        <w:numPr>
          <w:ilvl w:val="0"/>
          <w:numId w:val="3"/>
        </w:numPr>
        <w:rPr>
          <w:sz w:val="24"/>
          <w:szCs w:val="24"/>
        </w:rPr>
      </w:pPr>
      <w:r w:rsidRPr="003B0149">
        <w:rPr>
          <w:sz w:val="24"/>
          <w:szCs w:val="24"/>
        </w:rPr>
        <w:t>Explain the concept of allocating contributions using permitted disparity</w:t>
      </w:r>
    </w:p>
    <w:p w:rsidR="009631C7" w:rsidRPr="003B0149" w:rsidRDefault="009631C7" w:rsidP="009631C7">
      <w:pPr>
        <w:pStyle w:val="ListParagraph"/>
        <w:numPr>
          <w:ilvl w:val="0"/>
          <w:numId w:val="3"/>
        </w:numPr>
        <w:rPr>
          <w:sz w:val="24"/>
          <w:szCs w:val="24"/>
        </w:rPr>
      </w:pPr>
      <w:r w:rsidRPr="003B0149">
        <w:rPr>
          <w:sz w:val="24"/>
          <w:szCs w:val="24"/>
        </w:rPr>
        <w:t>Explain the formula for determining a participant’s annual additions limit</w:t>
      </w:r>
    </w:p>
    <w:p w:rsidR="009631C7" w:rsidRPr="003B0149" w:rsidRDefault="009631C7" w:rsidP="009631C7">
      <w:pPr>
        <w:pStyle w:val="ListParagraph"/>
        <w:numPr>
          <w:ilvl w:val="0"/>
          <w:numId w:val="3"/>
        </w:numPr>
        <w:rPr>
          <w:sz w:val="24"/>
          <w:szCs w:val="24"/>
        </w:rPr>
      </w:pPr>
      <w:r w:rsidRPr="003B0149">
        <w:rPr>
          <w:sz w:val="24"/>
          <w:szCs w:val="24"/>
        </w:rPr>
        <w:t xml:space="preserve">Identify the types of </w:t>
      </w:r>
      <w:r w:rsidR="00544E86">
        <w:rPr>
          <w:sz w:val="24"/>
          <w:szCs w:val="24"/>
        </w:rPr>
        <w:t>contributions/</w:t>
      </w:r>
      <w:r w:rsidRPr="003B0149">
        <w:rPr>
          <w:sz w:val="24"/>
          <w:szCs w:val="24"/>
        </w:rPr>
        <w:t>allocations counted as annual addition</w:t>
      </w:r>
      <w:r>
        <w:rPr>
          <w:sz w:val="24"/>
          <w:szCs w:val="24"/>
        </w:rPr>
        <w:t>s</w:t>
      </w:r>
    </w:p>
    <w:p w:rsidR="009631C7" w:rsidRDefault="009631C7" w:rsidP="009631C7">
      <w:pPr>
        <w:pStyle w:val="ListParagraph"/>
        <w:numPr>
          <w:ilvl w:val="0"/>
          <w:numId w:val="3"/>
        </w:numPr>
        <w:rPr>
          <w:sz w:val="24"/>
          <w:szCs w:val="24"/>
        </w:rPr>
      </w:pPr>
      <w:r w:rsidRPr="003B0149">
        <w:rPr>
          <w:sz w:val="24"/>
          <w:szCs w:val="24"/>
        </w:rPr>
        <w:t>Calculate the annual additions limit for a participan</w:t>
      </w:r>
      <w:r w:rsidR="00466ABE">
        <w:rPr>
          <w:sz w:val="24"/>
          <w:szCs w:val="24"/>
        </w:rPr>
        <w:t>t in a defined contribution plan</w:t>
      </w:r>
    </w:p>
    <w:p w:rsidR="00466ABE" w:rsidRPr="003B0149" w:rsidRDefault="00466ABE" w:rsidP="00466ABE">
      <w:pPr>
        <w:pStyle w:val="ListParagraph"/>
        <w:rPr>
          <w:sz w:val="24"/>
          <w:szCs w:val="24"/>
        </w:rPr>
      </w:pPr>
    </w:p>
    <w:p w:rsidR="009631C7" w:rsidRPr="003B0149" w:rsidRDefault="00E21E17" w:rsidP="009631C7">
      <w:pPr>
        <w:ind w:left="360"/>
        <w:rPr>
          <w:sz w:val="24"/>
          <w:szCs w:val="24"/>
        </w:rPr>
      </w:pPr>
      <w:r>
        <w:rPr>
          <w:sz w:val="24"/>
          <w:szCs w:val="24"/>
        </w:rPr>
        <w:t xml:space="preserve">C.  </w:t>
      </w:r>
      <w:r w:rsidR="009631C7" w:rsidRPr="003B0149">
        <w:rPr>
          <w:sz w:val="24"/>
          <w:szCs w:val="24"/>
        </w:rPr>
        <w:t>Outline steps in the performance of annual testing</w:t>
      </w:r>
      <w:r w:rsidR="00544E86">
        <w:rPr>
          <w:sz w:val="24"/>
          <w:szCs w:val="24"/>
        </w:rPr>
        <w:t xml:space="preserve"> </w:t>
      </w:r>
    </w:p>
    <w:p w:rsidR="005D180E" w:rsidRPr="005D180E" w:rsidRDefault="009631C7" w:rsidP="00E21E17">
      <w:pPr>
        <w:pStyle w:val="ListParagraph"/>
        <w:numPr>
          <w:ilvl w:val="0"/>
          <w:numId w:val="4"/>
        </w:numPr>
        <w:ind w:left="1080"/>
        <w:rPr>
          <w:sz w:val="24"/>
          <w:szCs w:val="24"/>
        </w:rPr>
      </w:pPr>
      <w:r>
        <w:rPr>
          <w:sz w:val="24"/>
          <w:szCs w:val="24"/>
        </w:rPr>
        <w:t>Define</w:t>
      </w:r>
      <w:r w:rsidRPr="003B0149">
        <w:rPr>
          <w:sz w:val="24"/>
          <w:szCs w:val="24"/>
        </w:rPr>
        <w:t xml:space="preserve"> when a plan is top-heavy </w:t>
      </w:r>
    </w:p>
    <w:p w:rsidR="009631C7" w:rsidRDefault="009631C7" w:rsidP="00E21E17">
      <w:pPr>
        <w:pStyle w:val="ListParagraph"/>
        <w:numPr>
          <w:ilvl w:val="0"/>
          <w:numId w:val="4"/>
        </w:numPr>
        <w:ind w:left="1080"/>
        <w:rPr>
          <w:sz w:val="24"/>
          <w:szCs w:val="24"/>
        </w:rPr>
      </w:pPr>
      <w:r>
        <w:rPr>
          <w:sz w:val="24"/>
          <w:szCs w:val="24"/>
        </w:rPr>
        <w:t>Describe</w:t>
      </w:r>
      <w:r w:rsidRPr="003B0149">
        <w:rPr>
          <w:sz w:val="24"/>
          <w:szCs w:val="24"/>
        </w:rPr>
        <w:t xml:space="preserve"> the </w:t>
      </w:r>
      <w:r w:rsidR="00CD2A98">
        <w:rPr>
          <w:sz w:val="24"/>
          <w:szCs w:val="24"/>
        </w:rPr>
        <w:t xml:space="preserve">minimum </w:t>
      </w:r>
      <w:r w:rsidRPr="003B0149">
        <w:rPr>
          <w:sz w:val="24"/>
          <w:szCs w:val="24"/>
        </w:rPr>
        <w:t xml:space="preserve">contribution </w:t>
      </w:r>
      <w:r w:rsidR="00544E86">
        <w:rPr>
          <w:sz w:val="24"/>
          <w:szCs w:val="24"/>
        </w:rPr>
        <w:t xml:space="preserve">or benefit </w:t>
      </w:r>
      <w:r w:rsidRPr="003B0149">
        <w:rPr>
          <w:sz w:val="24"/>
          <w:szCs w:val="24"/>
        </w:rPr>
        <w:t>requirements that apply to top-heavy plans</w:t>
      </w:r>
    </w:p>
    <w:p w:rsidR="005D180E" w:rsidRPr="003B0149" w:rsidRDefault="005D180E" w:rsidP="00E21E17">
      <w:pPr>
        <w:pStyle w:val="ListParagraph"/>
        <w:numPr>
          <w:ilvl w:val="0"/>
          <w:numId w:val="4"/>
        </w:numPr>
        <w:ind w:left="1080"/>
        <w:rPr>
          <w:sz w:val="24"/>
          <w:szCs w:val="24"/>
        </w:rPr>
      </w:pPr>
      <w:r>
        <w:rPr>
          <w:sz w:val="24"/>
          <w:szCs w:val="24"/>
        </w:rPr>
        <w:t>Explain top-heavy vesting requirements for defined benefit plans</w:t>
      </w:r>
    </w:p>
    <w:p w:rsidR="009631C7" w:rsidRPr="003B0149" w:rsidRDefault="009631C7" w:rsidP="00E21E17">
      <w:pPr>
        <w:pStyle w:val="ListParagraph"/>
        <w:numPr>
          <w:ilvl w:val="0"/>
          <w:numId w:val="4"/>
        </w:numPr>
        <w:ind w:left="1080"/>
        <w:rPr>
          <w:sz w:val="24"/>
          <w:szCs w:val="24"/>
        </w:rPr>
      </w:pPr>
      <w:r w:rsidRPr="003B0149">
        <w:rPr>
          <w:sz w:val="24"/>
          <w:szCs w:val="24"/>
        </w:rPr>
        <w:t>Explain the basic concept of minimum coverage testing for qualified plans</w:t>
      </w:r>
    </w:p>
    <w:p w:rsidR="009631C7" w:rsidRDefault="009631C7" w:rsidP="00E21E17">
      <w:pPr>
        <w:pStyle w:val="ListParagraph"/>
        <w:numPr>
          <w:ilvl w:val="0"/>
          <w:numId w:val="4"/>
        </w:numPr>
        <w:ind w:left="1080"/>
        <w:rPr>
          <w:sz w:val="24"/>
          <w:szCs w:val="24"/>
        </w:rPr>
      </w:pPr>
      <w:r w:rsidRPr="003B0149">
        <w:rPr>
          <w:sz w:val="24"/>
          <w:szCs w:val="24"/>
        </w:rPr>
        <w:t xml:space="preserve">Define the term </w:t>
      </w:r>
      <w:r w:rsidR="00544E86">
        <w:rPr>
          <w:sz w:val="24"/>
          <w:szCs w:val="24"/>
        </w:rPr>
        <w:t>“</w:t>
      </w:r>
      <w:r w:rsidRPr="003B0149">
        <w:rPr>
          <w:sz w:val="24"/>
          <w:szCs w:val="24"/>
        </w:rPr>
        <w:t>benefiting</w:t>
      </w:r>
      <w:r w:rsidR="00544E86">
        <w:rPr>
          <w:sz w:val="24"/>
          <w:szCs w:val="24"/>
        </w:rPr>
        <w:t>”</w:t>
      </w:r>
      <w:r w:rsidRPr="003B0149">
        <w:rPr>
          <w:sz w:val="24"/>
          <w:szCs w:val="24"/>
        </w:rPr>
        <w:t xml:space="preserve"> under a </w:t>
      </w:r>
      <w:r w:rsidR="00CD2A98">
        <w:rPr>
          <w:sz w:val="24"/>
          <w:szCs w:val="24"/>
        </w:rPr>
        <w:t xml:space="preserve">qualified plan as it applies to minimum </w:t>
      </w:r>
      <w:r w:rsidRPr="003B0149">
        <w:rPr>
          <w:sz w:val="24"/>
          <w:szCs w:val="24"/>
        </w:rPr>
        <w:t>coverage testing</w:t>
      </w:r>
    </w:p>
    <w:p w:rsidR="009631C7" w:rsidRDefault="009631C7" w:rsidP="00E21E17">
      <w:pPr>
        <w:pStyle w:val="ListParagraph"/>
        <w:numPr>
          <w:ilvl w:val="0"/>
          <w:numId w:val="4"/>
        </w:numPr>
        <w:ind w:left="1080"/>
        <w:rPr>
          <w:sz w:val="24"/>
          <w:szCs w:val="24"/>
        </w:rPr>
      </w:pPr>
      <w:r w:rsidRPr="003B0149">
        <w:rPr>
          <w:sz w:val="24"/>
          <w:szCs w:val="24"/>
        </w:rPr>
        <w:t xml:space="preserve">Identify the employees who may be excluded in </w:t>
      </w:r>
      <w:r w:rsidR="00544E86">
        <w:rPr>
          <w:sz w:val="24"/>
          <w:szCs w:val="24"/>
        </w:rPr>
        <w:t xml:space="preserve">minimum </w:t>
      </w:r>
      <w:r w:rsidRPr="003B0149">
        <w:rPr>
          <w:sz w:val="24"/>
          <w:szCs w:val="24"/>
        </w:rPr>
        <w:t>coverage testing</w:t>
      </w:r>
      <w:r w:rsidRPr="007E557F">
        <w:rPr>
          <w:sz w:val="24"/>
          <w:szCs w:val="24"/>
        </w:rPr>
        <w:t xml:space="preserve"> </w:t>
      </w:r>
    </w:p>
    <w:p w:rsidR="009631C7" w:rsidRDefault="009631C7" w:rsidP="00E21E17">
      <w:pPr>
        <w:pStyle w:val="ListParagraph"/>
        <w:numPr>
          <w:ilvl w:val="0"/>
          <w:numId w:val="4"/>
        </w:numPr>
        <w:ind w:left="1080"/>
        <w:rPr>
          <w:sz w:val="24"/>
          <w:szCs w:val="24"/>
        </w:rPr>
      </w:pPr>
      <w:r>
        <w:rPr>
          <w:sz w:val="24"/>
          <w:szCs w:val="24"/>
        </w:rPr>
        <w:t xml:space="preserve">Explain the nondiscrimination tests applicable to </w:t>
      </w:r>
      <w:r w:rsidR="00CD2A98">
        <w:rPr>
          <w:sz w:val="24"/>
          <w:szCs w:val="24"/>
        </w:rPr>
        <w:t>pre-tax elective</w:t>
      </w:r>
      <w:r>
        <w:rPr>
          <w:sz w:val="24"/>
          <w:szCs w:val="24"/>
        </w:rPr>
        <w:t xml:space="preserve"> contributions</w:t>
      </w:r>
      <w:r w:rsidR="00CD2A98">
        <w:rPr>
          <w:sz w:val="24"/>
          <w:szCs w:val="24"/>
        </w:rPr>
        <w:t>, designated Roth contributions</w:t>
      </w:r>
      <w:r w:rsidR="005D180E">
        <w:rPr>
          <w:sz w:val="24"/>
          <w:szCs w:val="24"/>
        </w:rPr>
        <w:t>,</w:t>
      </w:r>
      <w:r w:rsidR="00CD2A98">
        <w:rPr>
          <w:sz w:val="24"/>
          <w:szCs w:val="24"/>
        </w:rPr>
        <w:t xml:space="preserve"> </w:t>
      </w:r>
      <w:r w:rsidR="00544E86">
        <w:rPr>
          <w:sz w:val="24"/>
          <w:szCs w:val="24"/>
        </w:rPr>
        <w:t xml:space="preserve">after-tax </w:t>
      </w:r>
      <w:r w:rsidR="005D180E">
        <w:rPr>
          <w:sz w:val="24"/>
          <w:szCs w:val="24"/>
        </w:rPr>
        <w:t xml:space="preserve">voluntary </w:t>
      </w:r>
      <w:r w:rsidR="00544E86">
        <w:rPr>
          <w:sz w:val="24"/>
          <w:szCs w:val="24"/>
        </w:rPr>
        <w:t xml:space="preserve">employee contributions </w:t>
      </w:r>
      <w:r w:rsidR="00CD2A98">
        <w:rPr>
          <w:sz w:val="24"/>
          <w:szCs w:val="24"/>
        </w:rPr>
        <w:t>and matching contributions</w:t>
      </w:r>
    </w:p>
    <w:p w:rsidR="009631C7" w:rsidRDefault="009631C7" w:rsidP="00E21E17">
      <w:pPr>
        <w:pStyle w:val="ListParagraph"/>
        <w:numPr>
          <w:ilvl w:val="0"/>
          <w:numId w:val="4"/>
        </w:numPr>
        <w:ind w:left="1080"/>
        <w:rPr>
          <w:sz w:val="24"/>
          <w:szCs w:val="24"/>
        </w:rPr>
      </w:pPr>
      <w:r>
        <w:rPr>
          <w:sz w:val="24"/>
          <w:szCs w:val="24"/>
        </w:rPr>
        <w:t xml:space="preserve">Identify whether a plan has passed the </w:t>
      </w:r>
      <w:r w:rsidR="00135DFB">
        <w:rPr>
          <w:sz w:val="24"/>
          <w:szCs w:val="24"/>
        </w:rPr>
        <w:t>ADP</w:t>
      </w:r>
      <w:r>
        <w:rPr>
          <w:sz w:val="24"/>
          <w:szCs w:val="24"/>
        </w:rPr>
        <w:t xml:space="preserve"> and/or </w:t>
      </w:r>
      <w:r w:rsidR="00135DFB">
        <w:rPr>
          <w:sz w:val="24"/>
          <w:szCs w:val="24"/>
        </w:rPr>
        <w:t>ACP</w:t>
      </w:r>
      <w:r>
        <w:rPr>
          <w:sz w:val="24"/>
          <w:szCs w:val="24"/>
        </w:rPr>
        <w:t xml:space="preserve"> test</w:t>
      </w:r>
    </w:p>
    <w:p w:rsidR="005D180E" w:rsidRDefault="005D180E" w:rsidP="00E21E17">
      <w:pPr>
        <w:pStyle w:val="ListParagraph"/>
        <w:numPr>
          <w:ilvl w:val="0"/>
          <w:numId w:val="4"/>
        </w:numPr>
        <w:ind w:left="1080"/>
        <w:rPr>
          <w:sz w:val="24"/>
          <w:szCs w:val="24"/>
        </w:rPr>
      </w:pPr>
      <w:r>
        <w:rPr>
          <w:sz w:val="24"/>
          <w:szCs w:val="24"/>
        </w:rPr>
        <w:t xml:space="preserve">Identify participants included in the </w:t>
      </w:r>
      <w:r w:rsidR="00135DFB">
        <w:rPr>
          <w:sz w:val="24"/>
          <w:szCs w:val="24"/>
        </w:rPr>
        <w:t>ADP</w:t>
      </w:r>
      <w:r>
        <w:rPr>
          <w:sz w:val="24"/>
          <w:szCs w:val="24"/>
        </w:rPr>
        <w:t xml:space="preserve"> and/or </w:t>
      </w:r>
      <w:r w:rsidR="00135DFB">
        <w:rPr>
          <w:sz w:val="24"/>
          <w:szCs w:val="24"/>
        </w:rPr>
        <w:t>ACP</w:t>
      </w:r>
      <w:r>
        <w:rPr>
          <w:sz w:val="24"/>
          <w:szCs w:val="24"/>
        </w:rPr>
        <w:t xml:space="preserve"> test</w:t>
      </w:r>
    </w:p>
    <w:p w:rsidR="005D180E" w:rsidRPr="007E557F" w:rsidRDefault="005D180E" w:rsidP="00E21E17">
      <w:pPr>
        <w:pStyle w:val="ListParagraph"/>
        <w:numPr>
          <w:ilvl w:val="0"/>
          <w:numId w:val="4"/>
        </w:numPr>
        <w:ind w:left="1080"/>
        <w:rPr>
          <w:sz w:val="24"/>
          <w:szCs w:val="24"/>
        </w:rPr>
      </w:pPr>
      <w:r>
        <w:rPr>
          <w:sz w:val="24"/>
          <w:szCs w:val="24"/>
        </w:rPr>
        <w:t>Describe the deemed three percent rule</w:t>
      </w:r>
    </w:p>
    <w:p w:rsidR="009631C7" w:rsidRPr="003B0149" w:rsidRDefault="009631C7" w:rsidP="00E21E17">
      <w:pPr>
        <w:pStyle w:val="ListParagraph"/>
        <w:numPr>
          <w:ilvl w:val="0"/>
          <w:numId w:val="4"/>
        </w:numPr>
        <w:ind w:left="1080"/>
        <w:rPr>
          <w:sz w:val="24"/>
          <w:szCs w:val="24"/>
        </w:rPr>
      </w:pPr>
      <w:r w:rsidRPr="003B0149">
        <w:rPr>
          <w:sz w:val="24"/>
          <w:szCs w:val="24"/>
        </w:rPr>
        <w:t xml:space="preserve">List methods of correcting a failed </w:t>
      </w:r>
      <w:r w:rsidR="00135DFB">
        <w:rPr>
          <w:sz w:val="24"/>
          <w:szCs w:val="24"/>
        </w:rPr>
        <w:t>ADP</w:t>
      </w:r>
      <w:r w:rsidRPr="003B0149">
        <w:rPr>
          <w:sz w:val="24"/>
          <w:szCs w:val="24"/>
        </w:rPr>
        <w:t xml:space="preserve"> and/or </w:t>
      </w:r>
      <w:r w:rsidR="00135DFB">
        <w:rPr>
          <w:sz w:val="24"/>
          <w:szCs w:val="24"/>
        </w:rPr>
        <w:t>ACP</w:t>
      </w:r>
      <w:r w:rsidRPr="003B0149">
        <w:rPr>
          <w:sz w:val="24"/>
          <w:szCs w:val="24"/>
        </w:rPr>
        <w:t xml:space="preserve"> test</w:t>
      </w:r>
    </w:p>
    <w:p w:rsidR="009631C7" w:rsidRPr="003B0149" w:rsidRDefault="009631C7" w:rsidP="00E21E17">
      <w:pPr>
        <w:pStyle w:val="ListParagraph"/>
        <w:numPr>
          <w:ilvl w:val="0"/>
          <w:numId w:val="4"/>
        </w:numPr>
        <w:ind w:left="1080"/>
        <w:rPr>
          <w:sz w:val="24"/>
          <w:szCs w:val="24"/>
        </w:rPr>
      </w:pPr>
      <w:r w:rsidRPr="003B0149">
        <w:rPr>
          <w:sz w:val="24"/>
          <w:szCs w:val="24"/>
        </w:rPr>
        <w:t xml:space="preserve">List the types of safe harbor 401(k) plan contributions </w:t>
      </w:r>
    </w:p>
    <w:p w:rsidR="009631C7" w:rsidRPr="003B0149" w:rsidRDefault="009631C7" w:rsidP="00E21E17">
      <w:pPr>
        <w:pStyle w:val="ListParagraph"/>
        <w:numPr>
          <w:ilvl w:val="0"/>
          <w:numId w:val="4"/>
        </w:numPr>
        <w:ind w:left="1080"/>
        <w:rPr>
          <w:sz w:val="24"/>
          <w:szCs w:val="24"/>
        </w:rPr>
      </w:pPr>
      <w:r w:rsidRPr="003B0149">
        <w:rPr>
          <w:sz w:val="24"/>
          <w:szCs w:val="24"/>
        </w:rPr>
        <w:t>Explain the concept of a safe harbor 401(k) plan, including the vesting rules, notice requirements, withdrawal restrictions, and top-heavy rules</w:t>
      </w:r>
    </w:p>
    <w:p w:rsidR="009631C7" w:rsidRDefault="009631C7" w:rsidP="00E21E17">
      <w:pPr>
        <w:pStyle w:val="ListParagraph"/>
        <w:numPr>
          <w:ilvl w:val="0"/>
          <w:numId w:val="4"/>
        </w:numPr>
        <w:ind w:left="1080"/>
        <w:rPr>
          <w:sz w:val="24"/>
          <w:szCs w:val="24"/>
        </w:rPr>
      </w:pPr>
      <w:r w:rsidRPr="003B0149">
        <w:rPr>
          <w:sz w:val="24"/>
          <w:szCs w:val="24"/>
        </w:rPr>
        <w:t xml:space="preserve">List </w:t>
      </w:r>
      <w:r>
        <w:rPr>
          <w:sz w:val="24"/>
          <w:szCs w:val="24"/>
        </w:rPr>
        <w:t>the benefits and requirements of</w:t>
      </w:r>
      <w:r w:rsidRPr="003B0149">
        <w:rPr>
          <w:sz w:val="24"/>
          <w:szCs w:val="24"/>
        </w:rPr>
        <w:t xml:space="preserve"> automatic enrollment under </w:t>
      </w:r>
      <w:r w:rsidR="00CD2A98">
        <w:rPr>
          <w:sz w:val="24"/>
          <w:szCs w:val="24"/>
        </w:rPr>
        <w:t xml:space="preserve"> an </w:t>
      </w:r>
      <w:r w:rsidRPr="003B0149">
        <w:rPr>
          <w:sz w:val="24"/>
          <w:szCs w:val="24"/>
        </w:rPr>
        <w:t>eligible aut</w:t>
      </w:r>
      <w:r w:rsidR="00544E86">
        <w:rPr>
          <w:sz w:val="24"/>
          <w:szCs w:val="24"/>
        </w:rPr>
        <w:t>omatic contribution arrangement</w:t>
      </w:r>
      <w:r w:rsidRPr="003B0149">
        <w:rPr>
          <w:sz w:val="24"/>
          <w:szCs w:val="24"/>
        </w:rPr>
        <w:t xml:space="preserve"> and </w:t>
      </w:r>
      <w:r w:rsidR="005D180E">
        <w:rPr>
          <w:sz w:val="24"/>
          <w:szCs w:val="24"/>
        </w:rPr>
        <w:t xml:space="preserve">a </w:t>
      </w:r>
      <w:r w:rsidRPr="003B0149">
        <w:rPr>
          <w:sz w:val="24"/>
          <w:szCs w:val="24"/>
        </w:rPr>
        <w:t>qualified aut</w:t>
      </w:r>
      <w:r w:rsidR="00544E86">
        <w:rPr>
          <w:sz w:val="24"/>
          <w:szCs w:val="24"/>
        </w:rPr>
        <w:t>omatic contribution arrangement</w:t>
      </w:r>
    </w:p>
    <w:p w:rsidR="00466ABE" w:rsidRPr="003B0149" w:rsidRDefault="00466ABE" w:rsidP="00E21E17">
      <w:pPr>
        <w:pStyle w:val="ListParagraph"/>
        <w:ind w:left="1080"/>
        <w:rPr>
          <w:sz w:val="24"/>
          <w:szCs w:val="24"/>
        </w:rPr>
      </w:pPr>
    </w:p>
    <w:p w:rsidR="009631C7" w:rsidRPr="003B0149" w:rsidRDefault="0096032B" w:rsidP="009631C7">
      <w:pPr>
        <w:ind w:left="360"/>
        <w:rPr>
          <w:sz w:val="24"/>
          <w:szCs w:val="24"/>
        </w:rPr>
      </w:pPr>
      <w:r>
        <w:rPr>
          <w:sz w:val="24"/>
          <w:szCs w:val="24"/>
        </w:rPr>
        <w:t xml:space="preserve">D. </w:t>
      </w:r>
      <w:r w:rsidR="0060567C">
        <w:rPr>
          <w:sz w:val="24"/>
          <w:szCs w:val="24"/>
        </w:rPr>
        <w:t xml:space="preserve">Describe </w:t>
      </w:r>
      <w:r w:rsidR="00544E86">
        <w:rPr>
          <w:sz w:val="24"/>
          <w:szCs w:val="24"/>
        </w:rPr>
        <w:t>daily valuation</w:t>
      </w:r>
      <w:r w:rsidR="0060567C">
        <w:rPr>
          <w:sz w:val="24"/>
          <w:szCs w:val="24"/>
        </w:rPr>
        <w:t>.</w:t>
      </w:r>
    </w:p>
    <w:p w:rsidR="009631C7" w:rsidRPr="00A111DB" w:rsidRDefault="009631C7" w:rsidP="00A111DB">
      <w:pPr>
        <w:pStyle w:val="ListParagraph"/>
        <w:numPr>
          <w:ilvl w:val="0"/>
          <w:numId w:val="5"/>
        </w:numPr>
        <w:rPr>
          <w:sz w:val="24"/>
          <w:szCs w:val="24"/>
        </w:rPr>
      </w:pPr>
      <w:r w:rsidRPr="003B0149">
        <w:rPr>
          <w:sz w:val="24"/>
          <w:szCs w:val="24"/>
        </w:rPr>
        <w:t xml:space="preserve">Define the term daily valuation </w:t>
      </w:r>
      <w:r w:rsidR="00A111DB">
        <w:rPr>
          <w:sz w:val="24"/>
          <w:szCs w:val="24"/>
        </w:rPr>
        <w:t>and list the affects this processing method has had on participants, plan administration and service delivery</w:t>
      </w:r>
    </w:p>
    <w:p w:rsidR="00466ABE" w:rsidRPr="003B0149" w:rsidRDefault="00466ABE" w:rsidP="00466ABE">
      <w:pPr>
        <w:pStyle w:val="ListParagraph"/>
        <w:rPr>
          <w:sz w:val="24"/>
          <w:szCs w:val="24"/>
        </w:rPr>
      </w:pPr>
    </w:p>
    <w:p w:rsidR="009631C7" w:rsidRPr="003B0149" w:rsidRDefault="0096032B" w:rsidP="009631C7">
      <w:pPr>
        <w:ind w:left="360"/>
        <w:rPr>
          <w:sz w:val="24"/>
          <w:szCs w:val="24"/>
        </w:rPr>
      </w:pPr>
      <w:r>
        <w:rPr>
          <w:sz w:val="24"/>
          <w:szCs w:val="24"/>
        </w:rPr>
        <w:t xml:space="preserve">E.  </w:t>
      </w:r>
      <w:r w:rsidR="009631C7" w:rsidRPr="003B0149">
        <w:rPr>
          <w:sz w:val="24"/>
          <w:szCs w:val="24"/>
        </w:rPr>
        <w:t>Address the differences between balance-forward</w:t>
      </w:r>
      <w:r w:rsidR="0060567C">
        <w:rPr>
          <w:sz w:val="24"/>
          <w:szCs w:val="24"/>
        </w:rPr>
        <w:t xml:space="preserve"> administration</w:t>
      </w:r>
      <w:r w:rsidR="009631C7" w:rsidRPr="003B0149">
        <w:rPr>
          <w:sz w:val="24"/>
          <w:szCs w:val="24"/>
        </w:rPr>
        <w:t xml:space="preserve"> and daily valuation</w:t>
      </w:r>
      <w:r w:rsidR="0060567C">
        <w:rPr>
          <w:sz w:val="24"/>
          <w:szCs w:val="24"/>
        </w:rPr>
        <w:t>.</w:t>
      </w:r>
    </w:p>
    <w:p w:rsidR="009631C7" w:rsidRPr="003B0149" w:rsidRDefault="009631C7" w:rsidP="009631C7">
      <w:pPr>
        <w:pStyle w:val="ListParagraph"/>
        <w:numPr>
          <w:ilvl w:val="0"/>
          <w:numId w:val="6"/>
        </w:numPr>
        <w:rPr>
          <w:sz w:val="24"/>
          <w:szCs w:val="24"/>
        </w:rPr>
      </w:pPr>
      <w:r w:rsidRPr="003B0149">
        <w:rPr>
          <w:sz w:val="24"/>
          <w:szCs w:val="24"/>
        </w:rPr>
        <w:lastRenderedPageBreak/>
        <w:t>Identify differen</w:t>
      </w:r>
      <w:r w:rsidR="00544E86">
        <w:rPr>
          <w:sz w:val="24"/>
          <w:szCs w:val="24"/>
        </w:rPr>
        <w:t>ces and similarities in balance-</w:t>
      </w:r>
      <w:r w:rsidRPr="003B0149">
        <w:rPr>
          <w:sz w:val="24"/>
          <w:szCs w:val="24"/>
        </w:rPr>
        <w:t>forward and daily valuation accounting, reconciliation and earnings allocation methods</w:t>
      </w:r>
    </w:p>
    <w:p w:rsidR="009631C7" w:rsidRPr="003B0149" w:rsidRDefault="009631C7" w:rsidP="009631C7">
      <w:pPr>
        <w:pStyle w:val="ListParagraph"/>
        <w:numPr>
          <w:ilvl w:val="0"/>
          <w:numId w:val="6"/>
        </w:numPr>
        <w:rPr>
          <w:sz w:val="24"/>
          <w:szCs w:val="24"/>
        </w:rPr>
      </w:pPr>
      <w:r w:rsidRPr="003B0149">
        <w:rPr>
          <w:sz w:val="24"/>
          <w:szCs w:val="24"/>
        </w:rPr>
        <w:t>Describe how earnings and dividends are credited to participant accounts in daily recordkeeping</w:t>
      </w:r>
    </w:p>
    <w:p w:rsidR="009631C7" w:rsidRPr="003B0149" w:rsidRDefault="00544E86" w:rsidP="009631C7">
      <w:pPr>
        <w:pStyle w:val="ListParagraph"/>
        <w:numPr>
          <w:ilvl w:val="0"/>
          <w:numId w:val="6"/>
        </w:numPr>
        <w:rPr>
          <w:sz w:val="24"/>
          <w:szCs w:val="24"/>
        </w:rPr>
      </w:pPr>
      <w:r>
        <w:rPr>
          <w:sz w:val="24"/>
          <w:szCs w:val="24"/>
        </w:rPr>
        <w:t>Differentiate between balance-</w:t>
      </w:r>
      <w:r w:rsidR="009631C7" w:rsidRPr="003B0149">
        <w:rPr>
          <w:sz w:val="24"/>
          <w:szCs w:val="24"/>
        </w:rPr>
        <w:t>forward and daily valuation methods when processing distributions and transfer</w:t>
      </w:r>
      <w:r w:rsidR="009631C7">
        <w:rPr>
          <w:sz w:val="24"/>
          <w:szCs w:val="24"/>
        </w:rPr>
        <w:t>s</w:t>
      </w:r>
    </w:p>
    <w:p w:rsidR="009631C7" w:rsidRDefault="009631C7" w:rsidP="009631C7">
      <w:pPr>
        <w:pStyle w:val="ListParagraph"/>
        <w:numPr>
          <w:ilvl w:val="0"/>
          <w:numId w:val="6"/>
        </w:numPr>
        <w:rPr>
          <w:sz w:val="24"/>
          <w:szCs w:val="24"/>
        </w:rPr>
      </w:pPr>
      <w:r w:rsidRPr="003B0149">
        <w:rPr>
          <w:sz w:val="24"/>
          <w:szCs w:val="24"/>
        </w:rPr>
        <w:t xml:space="preserve">List the characteristics of an efficient investment offered </w:t>
      </w:r>
      <w:r w:rsidR="00466ABE">
        <w:rPr>
          <w:sz w:val="24"/>
          <w:szCs w:val="24"/>
        </w:rPr>
        <w:t>in a daily valuation environment</w:t>
      </w:r>
    </w:p>
    <w:p w:rsidR="00466ABE" w:rsidRPr="003B0149" w:rsidRDefault="00466ABE" w:rsidP="00466ABE">
      <w:pPr>
        <w:pStyle w:val="ListParagraph"/>
        <w:rPr>
          <w:sz w:val="24"/>
          <w:szCs w:val="24"/>
        </w:rPr>
      </w:pPr>
    </w:p>
    <w:p w:rsidR="009631C7" w:rsidRPr="003B0149" w:rsidRDefault="0096032B" w:rsidP="009631C7">
      <w:pPr>
        <w:ind w:left="360"/>
        <w:rPr>
          <w:sz w:val="24"/>
          <w:szCs w:val="24"/>
        </w:rPr>
      </w:pPr>
      <w:r>
        <w:rPr>
          <w:sz w:val="24"/>
          <w:szCs w:val="24"/>
        </w:rPr>
        <w:t xml:space="preserve">F.  </w:t>
      </w:r>
      <w:r w:rsidR="009631C7" w:rsidRPr="003B0149">
        <w:rPr>
          <w:sz w:val="24"/>
          <w:szCs w:val="24"/>
        </w:rPr>
        <w:t>Identify fiduciaries and outline the fi</w:t>
      </w:r>
      <w:r w:rsidR="00544E86">
        <w:rPr>
          <w:sz w:val="24"/>
          <w:szCs w:val="24"/>
        </w:rPr>
        <w:t>duciary role in qualified plans</w:t>
      </w:r>
    </w:p>
    <w:p w:rsidR="009631C7" w:rsidRDefault="009631C7" w:rsidP="009631C7">
      <w:pPr>
        <w:pStyle w:val="ListParagraph"/>
        <w:numPr>
          <w:ilvl w:val="0"/>
          <w:numId w:val="7"/>
        </w:numPr>
        <w:rPr>
          <w:sz w:val="24"/>
          <w:szCs w:val="24"/>
        </w:rPr>
      </w:pPr>
      <w:r w:rsidRPr="003B0149">
        <w:rPr>
          <w:sz w:val="24"/>
          <w:szCs w:val="24"/>
        </w:rPr>
        <w:t>Determine which parties are fiduciaries</w:t>
      </w:r>
    </w:p>
    <w:p w:rsidR="009631C7" w:rsidRPr="003B0149" w:rsidRDefault="009631C7" w:rsidP="009631C7">
      <w:pPr>
        <w:pStyle w:val="ListParagraph"/>
        <w:numPr>
          <w:ilvl w:val="0"/>
          <w:numId w:val="7"/>
        </w:numPr>
        <w:rPr>
          <w:sz w:val="24"/>
          <w:szCs w:val="24"/>
        </w:rPr>
      </w:pPr>
      <w:r>
        <w:rPr>
          <w:sz w:val="24"/>
          <w:szCs w:val="24"/>
        </w:rPr>
        <w:t xml:space="preserve">Identify which plans are subject to the new </w:t>
      </w:r>
      <w:r w:rsidR="00135DFB">
        <w:rPr>
          <w:sz w:val="24"/>
          <w:szCs w:val="24"/>
        </w:rPr>
        <w:t>ERISA</w:t>
      </w:r>
      <w:r w:rsidR="00466ABE">
        <w:rPr>
          <w:sz w:val="24"/>
          <w:szCs w:val="24"/>
        </w:rPr>
        <w:t xml:space="preserve"> </w:t>
      </w:r>
      <w:r>
        <w:rPr>
          <w:sz w:val="24"/>
          <w:szCs w:val="24"/>
        </w:rPr>
        <w:t>Section 404(a)</w:t>
      </w:r>
      <w:r w:rsidR="00544E86">
        <w:rPr>
          <w:sz w:val="24"/>
          <w:szCs w:val="24"/>
        </w:rPr>
        <w:t>(5)</w:t>
      </w:r>
      <w:r>
        <w:rPr>
          <w:sz w:val="24"/>
          <w:szCs w:val="24"/>
        </w:rPr>
        <w:t xml:space="preserve"> participant disclosure regulations</w:t>
      </w:r>
    </w:p>
    <w:p w:rsidR="009631C7" w:rsidRPr="003B0149" w:rsidRDefault="009631C7" w:rsidP="009631C7">
      <w:pPr>
        <w:pStyle w:val="ListParagraph"/>
        <w:numPr>
          <w:ilvl w:val="0"/>
          <w:numId w:val="7"/>
        </w:numPr>
        <w:rPr>
          <w:sz w:val="24"/>
          <w:szCs w:val="24"/>
        </w:rPr>
      </w:pPr>
      <w:r w:rsidRPr="003B0149">
        <w:rPr>
          <w:sz w:val="24"/>
          <w:szCs w:val="24"/>
        </w:rPr>
        <w:t xml:space="preserve">Identify required disclosures </w:t>
      </w:r>
      <w:r>
        <w:rPr>
          <w:sz w:val="24"/>
          <w:szCs w:val="24"/>
        </w:rPr>
        <w:t>under ERISA Section 404(a)</w:t>
      </w:r>
      <w:r w:rsidR="00544E86">
        <w:rPr>
          <w:sz w:val="24"/>
          <w:szCs w:val="24"/>
        </w:rPr>
        <w:t>(5)</w:t>
      </w:r>
      <w:r>
        <w:rPr>
          <w:sz w:val="24"/>
          <w:szCs w:val="24"/>
        </w:rPr>
        <w:t xml:space="preserve"> </w:t>
      </w:r>
      <w:r w:rsidRPr="003B0149">
        <w:rPr>
          <w:sz w:val="24"/>
          <w:szCs w:val="24"/>
        </w:rPr>
        <w:t>that m</w:t>
      </w:r>
      <w:r>
        <w:rPr>
          <w:sz w:val="24"/>
          <w:szCs w:val="24"/>
        </w:rPr>
        <w:t>ust be given to participants who direct their investments</w:t>
      </w:r>
    </w:p>
    <w:p w:rsidR="009631C7" w:rsidRDefault="009631C7" w:rsidP="009631C7">
      <w:pPr>
        <w:pStyle w:val="ListParagraph"/>
        <w:numPr>
          <w:ilvl w:val="0"/>
          <w:numId w:val="7"/>
        </w:numPr>
        <w:rPr>
          <w:sz w:val="24"/>
          <w:szCs w:val="24"/>
        </w:rPr>
      </w:pPr>
      <w:r w:rsidRPr="003B0149">
        <w:rPr>
          <w:sz w:val="24"/>
          <w:szCs w:val="24"/>
        </w:rPr>
        <w:t xml:space="preserve">Explain </w:t>
      </w:r>
      <w:r w:rsidR="006561A9">
        <w:rPr>
          <w:sz w:val="24"/>
          <w:szCs w:val="24"/>
        </w:rPr>
        <w:t xml:space="preserve">what is required under ERISA Section 404(c) for participants to be deemed to have the </w:t>
      </w:r>
      <w:r w:rsidRPr="003B0149">
        <w:rPr>
          <w:sz w:val="24"/>
          <w:szCs w:val="24"/>
        </w:rPr>
        <w:t>oppor</w:t>
      </w:r>
      <w:r w:rsidR="006561A9">
        <w:rPr>
          <w:sz w:val="24"/>
          <w:szCs w:val="24"/>
        </w:rPr>
        <w:t>tunity to exercise control over their assets</w:t>
      </w:r>
    </w:p>
    <w:p w:rsidR="006561A9" w:rsidRPr="003B0149" w:rsidRDefault="006561A9" w:rsidP="009631C7">
      <w:pPr>
        <w:pStyle w:val="ListParagraph"/>
        <w:numPr>
          <w:ilvl w:val="0"/>
          <w:numId w:val="7"/>
        </w:numPr>
        <w:rPr>
          <w:sz w:val="24"/>
          <w:szCs w:val="24"/>
        </w:rPr>
      </w:pPr>
      <w:r>
        <w:rPr>
          <w:sz w:val="24"/>
          <w:szCs w:val="24"/>
        </w:rPr>
        <w:t>Define what is considered to be a broad range of inve</w:t>
      </w:r>
      <w:r w:rsidR="00135DFB">
        <w:rPr>
          <w:sz w:val="24"/>
          <w:szCs w:val="24"/>
        </w:rPr>
        <w:t>stments under ERISA Section 404(c)</w:t>
      </w:r>
    </w:p>
    <w:p w:rsidR="009631C7" w:rsidRDefault="006561A9" w:rsidP="009631C7">
      <w:pPr>
        <w:pStyle w:val="ListParagraph"/>
        <w:numPr>
          <w:ilvl w:val="0"/>
          <w:numId w:val="7"/>
        </w:numPr>
        <w:rPr>
          <w:sz w:val="24"/>
          <w:szCs w:val="24"/>
        </w:rPr>
      </w:pPr>
      <w:r>
        <w:rPr>
          <w:sz w:val="24"/>
          <w:szCs w:val="24"/>
        </w:rPr>
        <w:t>Explain what a fiduciary</w:t>
      </w:r>
      <w:r w:rsidR="009631C7" w:rsidRPr="003B0149">
        <w:rPr>
          <w:sz w:val="24"/>
          <w:szCs w:val="24"/>
        </w:rPr>
        <w:t xml:space="preserve"> must do to maint</w:t>
      </w:r>
      <w:r w:rsidR="009631C7">
        <w:rPr>
          <w:sz w:val="24"/>
          <w:szCs w:val="24"/>
        </w:rPr>
        <w:t xml:space="preserve">ain ERISA Section 404(c)  protection if </w:t>
      </w:r>
      <w:r w:rsidR="009631C7" w:rsidRPr="003B0149">
        <w:rPr>
          <w:sz w:val="24"/>
          <w:szCs w:val="24"/>
        </w:rPr>
        <w:t>using a default investment</w:t>
      </w:r>
    </w:p>
    <w:p w:rsidR="006561A9" w:rsidRPr="003B0149" w:rsidRDefault="006561A9" w:rsidP="009631C7">
      <w:pPr>
        <w:pStyle w:val="ListParagraph"/>
        <w:numPr>
          <w:ilvl w:val="0"/>
          <w:numId w:val="7"/>
        </w:numPr>
        <w:rPr>
          <w:sz w:val="24"/>
          <w:szCs w:val="24"/>
        </w:rPr>
      </w:pPr>
      <w:r>
        <w:rPr>
          <w:sz w:val="24"/>
          <w:szCs w:val="24"/>
        </w:rPr>
        <w:t>Explain what a fiduciary must do to maintain ERISA Section 404(c) protection if using mapping or reenrollment</w:t>
      </w:r>
    </w:p>
    <w:p w:rsidR="009631C7" w:rsidRDefault="00CD2A98" w:rsidP="009631C7">
      <w:pPr>
        <w:pStyle w:val="ListParagraph"/>
        <w:numPr>
          <w:ilvl w:val="0"/>
          <w:numId w:val="7"/>
        </w:numPr>
        <w:rPr>
          <w:sz w:val="24"/>
          <w:szCs w:val="24"/>
        </w:rPr>
      </w:pPr>
      <w:r>
        <w:rPr>
          <w:sz w:val="24"/>
          <w:szCs w:val="24"/>
        </w:rPr>
        <w:t>Explain when elective</w:t>
      </w:r>
      <w:r w:rsidR="009631C7" w:rsidRPr="003B0149">
        <w:rPr>
          <w:sz w:val="24"/>
          <w:szCs w:val="24"/>
        </w:rPr>
        <w:t>,</w:t>
      </w:r>
      <w:r>
        <w:rPr>
          <w:sz w:val="24"/>
          <w:szCs w:val="24"/>
        </w:rPr>
        <w:t xml:space="preserve"> contributions,</w:t>
      </w:r>
      <w:r w:rsidR="009631C7" w:rsidRPr="003B0149">
        <w:rPr>
          <w:sz w:val="24"/>
          <w:szCs w:val="24"/>
        </w:rPr>
        <w:t xml:space="preserve"> loan payments and matching contributions must be deposited into the trust</w:t>
      </w:r>
    </w:p>
    <w:p w:rsidR="00466ABE" w:rsidRPr="003B0149" w:rsidRDefault="00466ABE" w:rsidP="00466ABE">
      <w:pPr>
        <w:pStyle w:val="ListParagraph"/>
        <w:rPr>
          <w:sz w:val="24"/>
          <w:szCs w:val="24"/>
        </w:rPr>
      </w:pPr>
    </w:p>
    <w:p w:rsidR="009631C7" w:rsidRPr="003B0149" w:rsidRDefault="00CD4F25" w:rsidP="009631C7">
      <w:pPr>
        <w:ind w:left="360"/>
        <w:rPr>
          <w:sz w:val="24"/>
          <w:szCs w:val="24"/>
        </w:rPr>
      </w:pPr>
      <w:r>
        <w:rPr>
          <w:sz w:val="24"/>
          <w:szCs w:val="24"/>
        </w:rPr>
        <w:t xml:space="preserve">G.  </w:t>
      </w:r>
      <w:r w:rsidR="0060567C">
        <w:rPr>
          <w:sz w:val="24"/>
          <w:szCs w:val="24"/>
        </w:rPr>
        <w:t>List investments available</w:t>
      </w:r>
      <w:r w:rsidR="009631C7" w:rsidRPr="003B0149">
        <w:rPr>
          <w:sz w:val="24"/>
          <w:szCs w:val="24"/>
        </w:rPr>
        <w:t xml:space="preserve"> in qualified plans</w:t>
      </w:r>
      <w:r w:rsidR="00544E86">
        <w:rPr>
          <w:sz w:val="24"/>
          <w:szCs w:val="24"/>
        </w:rPr>
        <w:t xml:space="preserve"> </w:t>
      </w:r>
    </w:p>
    <w:p w:rsidR="009631C7" w:rsidRPr="003B0149" w:rsidRDefault="009631C7" w:rsidP="009631C7">
      <w:pPr>
        <w:pStyle w:val="ListParagraph"/>
        <w:numPr>
          <w:ilvl w:val="0"/>
          <w:numId w:val="8"/>
        </w:numPr>
        <w:rPr>
          <w:sz w:val="24"/>
          <w:szCs w:val="24"/>
        </w:rPr>
      </w:pPr>
      <w:r w:rsidRPr="003B0149">
        <w:rPr>
          <w:sz w:val="24"/>
          <w:szCs w:val="24"/>
        </w:rPr>
        <w:t xml:space="preserve">Explain the three basic asset classes in which mutual funds invest </w:t>
      </w:r>
    </w:p>
    <w:p w:rsidR="009631C7" w:rsidRDefault="00B05B6E" w:rsidP="009631C7">
      <w:pPr>
        <w:pStyle w:val="ListParagraph"/>
        <w:numPr>
          <w:ilvl w:val="0"/>
          <w:numId w:val="8"/>
        </w:numPr>
        <w:rPr>
          <w:sz w:val="24"/>
          <w:szCs w:val="24"/>
        </w:rPr>
      </w:pPr>
      <w:r>
        <w:rPr>
          <w:sz w:val="24"/>
          <w:szCs w:val="24"/>
        </w:rPr>
        <w:t>Differentiate among</w:t>
      </w:r>
      <w:r w:rsidR="009631C7" w:rsidRPr="003B0149">
        <w:rPr>
          <w:sz w:val="24"/>
          <w:szCs w:val="24"/>
        </w:rPr>
        <w:t xml:space="preserve"> the different types of mutual funds </w:t>
      </w:r>
    </w:p>
    <w:p w:rsidR="00171B0B" w:rsidRDefault="00171B0B" w:rsidP="009631C7">
      <w:pPr>
        <w:pStyle w:val="ListParagraph"/>
        <w:numPr>
          <w:ilvl w:val="0"/>
          <w:numId w:val="8"/>
        </w:numPr>
        <w:rPr>
          <w:sz w:val="24"/>
          <w:szCs w:val="24"/>
        </w:rPr>
      </w:pPr>
      <w:r>
        <w:rPr>
          <w:sz w:val="24"/>
          <w:szCs w:val="24"/>
        </w:rPr>
        <w:t>Explain the characteristics of target date funds and life cycle funds</w:t>
      </w:r>
    </w:p>
    <w:p w:rsidR="00171B0B" w:rsidRPr="00171B0B" w:rsidRDefault="00171B0B" w:rsidP="00171B0B">
      <w:pPr>
        <w:pStyle w:val="ListParagraph"/>
        <w:numPr>
          <w:ilvl w:val="0"/>
          <w:numId w:val="8"/>
        </w:numPr>
        <w:rPr>
          <w:sz w:val="24"/>
          <w:szCs w:val="24"/>
        </w:rPr>
      </w:pPr>
      <w:r w:rsidRPr="003B0149">
        <w:rPr>
          <w:sz w:val="24"/>
          <w:szCs w:val="24"/>
        </w:rPr>
        <w:t xml:space="preserve">Differentiate between a </w:t>
      </w:r>
      <w:r>
        <w:rPr>
          <w:sz w:val="24"/>
          <w:szCs w:val="24"/>
        </w:rPr>
        <w:t xml:space="preserve">traditional </w:t>
      </w:r>
      <w:r w:rsidRPr="003B0149">
        <w:rPr>
          <w:sz w:val="24"/>
          <w:szCs w:val="24"/>
        </w:rPr>
        <w:t>mutual fund and an E</w:t>
      </w:r>
      <w:r>
        <w:rPr>
          <w:sz w:val="24"/>
          <w:szCs w:val="24"/>
        </w:rPr>
        <w:t xml:space="preserve">lectronic </w:t>
      </w:r>
      <w:r w:rsidRPr="003B0149">
        <w:rPr>
          <w:sz w:val="24"/>
          <w:szCs w:val="24"/>
        </w:rPr>
        <w:t>T</w:t>
      </w:r>
      <w:r>
        <w:rPr>
          <w:sz w:val="24"/>
          <w:szCs w:val="24"/>
        </w:rPr>
        <w:t xml:space="preserve">ransfer </w:t>
      </w:r>
      <w:r w:rsidRPr="003B0149">
        <w:rPr>
          <w:sz w:val="24"/>
          <w:szCs w:val="24"/>
        </w:rPr>
        <w:t>F</w:t>
      </w:r>
      <w:r>
        <w:rPr>
          <w:sz w:val="24"/>
          <w:szCs w:val="24"/>
        </w:rPr>
        <w:t>und</w:t>
      </w:r>
    </w:p>
    <w:p w:rsidR="009631C7" w:rsidRPr="003B0149" w:rsidRDefault="009631C7" w:rsidP="009631C7">
      <w:pPr>
        <w:pStyle w:val="ListParagraph"/>
        <w:numPr>
          <w:ilvl w:val="0"/>
          <w:numId w:val="8"/>
        </w:numPr>
        <w:rPr>
          <w:sz w:val="24"/>
          <w:szCs w:val="24"/>
        </w:rPr>
      </w:pPr>
      <w:r w:rsidRPr="003B0149">
        <w:rPr>
          <w:sz w:val="24"/>
          <w:szCs w:val="24"/>
        </w:rPr>
        <w:t xml:space="preserve">Explain the characteristics of  </w:t>
      </w:r>
      <w:r w:rsidR="00135DFB">
        <w:rPr>
          <w:sz w:val="24"/>
          <w:szCs w:val="24"/>
        </w:rPr>
        <w:t>GICs</w:t>
      </w:r>
    </w:p>
    <w:p w:rsidR="00CD4F25" w:rsidRDefault="00CD4F25" w:rsidP="00CD4F25">
      <w:pPr>
        <w:rPr>
          <w:sz w:val="24"/>
          <w:szCs w:val="24"/>
        </w:rPr>
      </w:pPr>
    </w:p>
    <w:p w:rsidR="009631C7" w:rsidRPr="00CD4F25" w:rsidRDefault="009631C7" w:rsidP="00CD4F25">
      <w:pPr>
        <w:pStyle w:val="ListParagraph"/>
        <w:numPr>
          <w:ilvl w:val="0"/>
          <w:numId w:val="22"/>
        </w:numPr>
        <w:rPr>
          <w:sz w:val="24"/>
          <w:szCs w:val="24"/>
        </w:rPr>
      </w:pPr>
      <w:r w:rsidRPr="00CD4F25">
        <w:rPr>
          <w:sz w:val="24"/>
          <w:szCs w:val="24"/>
        </w:rPr>
        <w:t>Outline the special administrative issues that occur when employer stock is an asset of the plan</w:t>
      </w:r>
      <w:r w:rsidR="00812299" w:rsidRPr="00CD4F25">
        <w:rPr>
          <w:sz w:val="24"/>
          <w:szCs w:val="24"/>
        </w:rPr>
        <w:t xml:space="preserve"> </w:t>
      </w:r>
    </w:p>
    <w:p w:rsidR="009631C7" w:rsidRPr="003B0149" w:rsidRDefault="009631C7" w:rsidP="009631C7">
      <w:pPr>
        <w:pStyle w:val="ListParagraph"/>
        <w:numPr>
          <w:ilvl w:val="0"/>
          <w:numId w:val="9"/>
        </w:numPr>
        <w:rPr>
          <w:sz w:val="24"/>
          <w:szCs w:val="24"/>
        </w:rPr>
      </w:pPr>
      <w:r w:rsidRPr="003B0149">
        <w:rPr>
          <w:sz w:val="24"/>
          <w:szCs w:val="24"/>
        </w:rPr>
        <w:t>Identify the administrative issues when employer stock is offered as a participant investment</w:t>
      </w:r>
    </w:p>
    <w:p w:rsidR="009631C7" w:rsidRPr="003B0149" w:rsidRDefault="009631C7" w:rsidP="009631C7">
      <w:pPr>
        <w:pStyle w:val="ListParagraph"/>
        <w:numPr>
          <w:ilvl w:val="0"/>
          <w:numId w:val="9"/>
        </w:numPr>
        <w:rPr>
          <w:sz w:val="24"/>
          <w:szCs w:val="24"/>
        </w:rPr>
      </w:pPr>
      <w:r w:rsidRPr="003B0149">
        <w:rPr>
          <w:sz w:val="24"/>
          <w:szCs w:val="24"/>
        </w:rPr>
        <w:t>Explain the blackout period applicable for restricted employees</w:t>
      </w:r>
      <w:r w:rsidR="00812299">
        <w:rPr>
          <w:sz w:val="24"/>
          <w:szCs w:val="24"/>
        </w:rPr>
        <w:t xml:space="preserve"> and define restricted employees</w:t>
      </w:r>
    </w:p>
    <w:p w:rsidR="009631C7" w:rsidRPr="003B0149" w:rsidRDefault="00B05B6E" w:rsidP="009631C7">
      <w:pPr>
        <w:pStyle w:val="ListParagraph"/>
        <w:numPr>
          <w:ilvl w:val="0"/>
          <w:numId w:val="9"/>
        </w:numPr>
        <w:rPr>
          <w:sz w:val="24"/>
          <w:szCs w:val="24"/>
        </w:rPr>
      </w:pPr>
      <w:r>
        <w:rPr>
          <w:sz w:val="24"/>
          <w:szCs w:val="24"/>
        </w:rPr>
        <w:t>Explain the diversification requirements</w:t>
      </w:r>
      <w:r w:rsidR="009631C7" w:rsidRPr="003B0149">
        <w:rPr>
          <w:sz w:val="24"/>
          <w:szCs w:val="24"/>
        </w:rPr>
        <w:t xml:space="preserve"> when employer securities are an investment option</w:t>
      </w:r>
      <w:r>
        <w:rPr>
          <w:sz w:val="24"/>
          <w:szCs w:val="24"/>
        </w:rPr>
        <w:t xml:space="preserve"> including timing and notice requirements</w:t>
      </w:r>
    </w:p>
    <w:p w:rsidR="009631C7" w:rsidRDefault="009631C7" w:rsidP="009631C7">
      <w:pPr>
        <w:pStyle w:val="ListParagraph"/>
        <w:numPr>
          <w:ilvl w:val="0"/>
          <w:numId w:val="9"/>
        </w:numPr>
        <w:rPr>
          <w:sz w:val="24"/>
          <w:szCs w:val="24"/>
        </w:rPr>
      </w:pPr>
      <w:r w:rsidRPr="003B0149">
        <w:rPr>
          <w:sz w:val="24"/>
          <w:szCs w:val="24"/>
        </w:rPr>
        <w:t>Identify the two methods commonly used to account for employer stock as a plan inve</w:t>
      </w:r>
      <w:r w:rsidR="00466ABE">
        <w:rPr>
          <w:sz w:val="24"/>
          <w:szCs w:val="24"/>
        </w:rPr>
        <w:t>stment in a daily valuation plan</w:t>
      </w:r>
    </w:p>
    <w:p w:rsidR="00466ABE" w:rsidRPr="003B0149" w:rsidRDefault="00466ABE" w:rsidP="00466ABE">
      <w:pPr>
        <w:pStyle w:val="ListParagraph"/>
        <w:rPr>
          <w:sz w:val="24"/>
          <w:szCs w:val="24"/>
        </w:rPr>
      </w:pPr>
    </w:p>
    <w:p w:rsidR="009631C7" w:rsidRPr="003B0149" w:rsidRDefault="00CD4F25" w:rsidP="009631C7">
      <w:pPr>
        <w:ind w:left="360"/>
        <w:rPr>
          <w:sz w:val="24"/>
          <w:szCs w:val="24"/>
        </w:rPr>
      </w:pPr>
      <w:r>
        <w:rPr>
          <w:sz w:val="24"/>
          <w:szCs w:val="24"/>
        </w:rPr>
        <w:t xml:space="preserve">I.  </w:t>
      </w:r>
      <w:r w:rsidR="009631C7" w:rsidRPr="003B0149">
        <w:rPr>
          <w:sz w:val="24"/>
          <w:szCs w:val="24"/>
        </w:rPr>
        <w:t>Identify fees involved in qualified retirement plans</w:t>
      </w:r>
      <w:r w:rsidR="00812299">
        <w:rPr>
          <w:sz w:val="24"/>
          <w:szCs w:val="24"/>
        </w:rPr>
        <w:t xml:space="preserve"> </w:t>
      </w:r>
    </w:p>
    <w:p w:rsidR="009631C7" w:rsidRPr="003B0149" w:rsidRDefault="009631C7" w:rsidP="009631C7">
      <w:pPr>
        <w:pStyle w:val="ListParagraph"/>
        <w:numPr>
          <w:ilvl w:val="0"/>
          <w:numId w:val="10"/>
        </w:numPr>
        <w:rPr>
          <w:sz w:val="24"/>
          <w:szCs w:val="24"/>
        </w:rPr>
      </w:pPr>
      <w:r w:rsidRPr="003B0149">
        <w:rPr>
          <w:sz w:val="24"/>
          <w:szCs w:val="24"/>
        </w:rPr>
        <w:t>Explain the plan fiduciary’s responsibilities regarding assessing fees and disclosing fees and expenses to participants</w:t>
      </w:r>
    </w:p>
    <w:p w:rsidR="009631C7" w:rsidRPr="003B0149" w:rsidRDefault="009631C7" w:rsidP="009631C7">
      <w:pPr>
        <w:pStyle w:val="ListParagraph"/>
        <w:numPr>
          <w:ilvl w:val="0"/>
          <w:numId w:val="10"/>
        </w:numPr>
        <w:rPr>
          <w:sz w:val="24"/>
          <w:szCs w:val="24"/>
        </w:rPr>
      </w:pPr>
      <w:r w:rsidRPr="003B0149">
        <w:rPr>
          <w:sz w:val="24"/>
          <w:szCs w:val="24"/>
        </w:rPr>
        <w:t>Explain mutual fund sales charges, 12b-1 fees and how mutual fund share classes affect investment fees</w:t>
      </w:r>
    </w:p>
    <w:p w:rsidR="009631C7" w:rsidRPr="007772CD" w:rsidRDefault="009631C7" w:rsidP="007772CD">
      <w:pPr>
        <w:pStyle w:val="ListParagraph"/>
        <w:numPr>
          <w:ilvl w:val="0"/>
          <w:numId w:val="10"/>
        </w:numPr>
        <w:rPr>
          <w:sz w:val="24"/>
          <w:szCs w:val="24"/>
        </w:rPr>
      </w:pPr>
      <w:r w:rsidRPr="003B0149">
        <w:rPr>
          <w:sz w:val="24"/>
          <w:szCs w:val="24"/>
        </w:rPr>
        <w:t>Define investment management fees, custodial and transfer agent fees, transaction fees, sub-transfer agent fees, and shareholder servicing fees</w:t>
      </w:r>
    </w:p>
    <w:p w:rsidR="00871E5A" w:rsidRDefault="00871E5A" w:rsidP="009631C7">
      <w:pPr>
        <w:pStyle w:val="ListParagraph"/>
        <w:numPr>
          <w:ilvl w:val="0"/>
          <w:numId w:val="10"/>
        </w:numPr>
        <w:rPr>
          <w:sz w:val="24"/>
          <w:szCs w:val="24"/>
        </w:rPr>
      </w:pPr>
      <w:r>
        <w:rPr>
          <w:sz w:val="24"/>
          <w:szCs w:val="24"/>
        </w:rPr>
        <w:t>Identify which plans are subject to the new fiduciary fee disclosure regulations</w:t>
      </w:r>
      <w:r w:rsidR="007772CD">
        <w:rPr>
          <w:sz w:val="24"/>
          <w:szCs w:val="24"/>
        </w:rPr>
        <w:t xml:space="preserve"> under IRC Section 408(b)(2)</w:t>
      </w:r>
    </w:p>
    <w:p w:rsidR="00871E5A" w:rsidRDefault="00871E5A" w:rsidP="009631C7">
      <w:pPr>
        <w:pStyle w:val="ListParagraph"/>
        <w:numPr>
          <w:ilvl w:val="0"/>
          <w:numId w:val="10"/>
        </w:numPr>
        <w:rPr>
          <w:sz w:val="24"/>
          <w:szCs w:val="24"/>
        </w:rPr>
      </w:pPr>
      <w:r>
        <w:rPr>
          <w:sz w:val="24"/>
          <w:szCs w:val="24"/>
        </w:rPr>
        <w:t>Identify the disclosure that must be made under the new fiduciary fee disclosure regulations</w:t>
      </w:r>
    </w:p>
    <w:p w:rsidR="007772CD" w:rsidRDefault="007772CD" w:rsidP="009631C7">
      <w:pPr>
        <w:pStyle w:val="ListParagraph"/>
        <w:numPr>
          <w:ilvl w:val="0"/>
          <w:numId w:val="10"/>
        </w:numPr>
        <w:rPr>
          <w:sz w:val="24"/>
          <w:szCs w:val="24"/>
        </w:rPr>
      </w:pPr>
      <w:r>
        <w:rPr>
          <w:sz w:val="24"/>
          <w:szCs w:val="24"/>
        </w:rPr>
        <w:t>Explain the consequence for failing to make required fee disclosures</w:t>
      </w:r>
    </w:p>
    <w:p w:rsidR="00466ABE" w:rsidRPr="003B0149" w:rsidRDefault="00466ABE" w:rsidP="00466ABE">
      <w:pPr>
        <w:pStyle w:val="ListParagraph"/>
        <w:rPr>
          <w:sz w:val="24"/>
          <w:szCs w:val="24"/>
        </w:rPr>
      </w:pPr>
    </w:p>
    <w:p w:rsidR="009631C7" w:rsidRPr="003B0149" w:rsidRDefault="00CD4F25" w:rsidP="009631C7">
      <w:pPr>
        <w:ind w:left="360"/>
        <w:rPr>
          <w:sz w:val="24"/>
          <w:szCs w:val="24"/>
        </w:rPr>
      </w:pPr>
      <w:r>
        <w:rPr>
          <w:sz w:val="24"/>
          <w:szCs w:val="24"/>
        </w:rPr>
        <w:t xml:space="preserve">J.  </w:t>
      </w:r>
      <w:r w:rsidR="0060567C">
        <w:rPr>
          <w:sz w:val="24"/>
          <w:szCs w:val="24"/>
        </w:rPr>
        <w:t>Outline the processes of recordkeeping in daily valued plans.</w:t>
      </w:r>
    </w:p>
    <w:p w:rsidR="009631C7" w:rsidRPr="003B0149" w:rsidRDefault="00812299" w:rsidP="009631C7">
      <w:pPr>
        <w:pStyle w:val="ListParagraph"/>
        <w:numPr>
          <w:ilvl w:val="0"/>
          <w:numId w:val="11"/>
        </w:numPr>
        <w:rPr>
          <w:sz w:val="24"/>
          <w:szCs w:val="24"/>
        </w:rPr>
      </w:pPr>
      <w:r>
        <w:rPr>
          <w:sz w:val="24"/>
          <w:szCs w:val="24"/>
        </w:rPr>
        <w:t>Describe the daily processes performed</w:t>
      </w:r>
    </w:p>
    <w:p w:rsidR="009631C7" w:rsidRDefault="00812299" w:rsidP="009631C7">
      <w:pPr>
        <w:pStyle w:val="ListParagraph"/>
        <w:numPr>
          <w:ilvl w:val="0"/>
          <w:numId w:val="11"/>
        </w:numPr>
        <w:rPr>
          <w:sz w:val="24"/>
          <w:szCs w:val="24"/>
        </w:rPr>
      </w:pPr>
      <w:r>
        <w:rPr>
          <w:sz w:val="24"/>
          <w:szCs w:val="24"/>
        </w:rPr>
        <w:lastRenderedPageBreak/>
        <w:t>Explain the reasons to monitor cash, fund positions and loan payments</w:t>
      </w:r>
      <w:r w:rsidR="001134AD">
        <w:rPr>
          <w:sz w:val="24"/>
          <w:szCs w:val="24"/>
        </w:rPr>
        <w:t xml:space="preserve"> in a plan using the daily valuation method</w:t>
      </w:r>
    </w:p>
    <w:p w:rsidR="00466ABE" w:rsidRPr="003B0149" w:rsidRDefault="00466ABE" w:rsidP="00466ABE">
      <w:pPr>
        <w:pStyle w:val="ListParagraph"/>
        <w:rPr>
          <w:sz w:val="24"/>
          <w:szCs w:val="24"/>
        </w:rPr>
      </w:pPr>
    </w:p>
    <w:p w:rsidR="00812299" w:rsidRPr="00F65FF6" w:rsidRDefault="00CD4F25" w:rsidP="00F65FF6">
      <w:pPr>
        <w:ind w:left="360"/>
        <w:rPr>
          <w:sz w:val="24"/>
          <w:szCs w:val="24"/>
        </w:rPr>
      </w:pPr>
      <w:r>
        <w:rPr>
          <w:sz w:val="24"/>
          <w:szCs w:val="24"/>
        </w:rPr>
        <w:t xml:space="preserve">K.  </w:t>
      </w:r>
      <w:r w:rsidR="009631C7" w:rsidRPr="003B0149">
        <w:rPr>
          <w:sz w:val="24"/>
          <w:szCs w:val="24"/>
        </w:rPr>
        <w:t>Describe the use of mutual funds in retirement plans</w:t>
      </w:r>
      <w:r w:rsidR="00812299">
        <w:rPr>
          <w:sz w:val="24"/>
          <w:szCs w:val="24"/>
        </w:rPr>
        <w:t xml:space="preserve"> </w:t>
      </w:r>
    </w:p>
    <w:p w:rsidR="009631C7" w:rsidRPr="003B0149" w:rsidRDefault="009631C7" w:rsidP="00CD4F25">
      <w:pPr>
        <w:pStyle w:val="ListParagraph"/>
        <w:numPr>
          <w:ilvl w:val="0"/>
          <w:numId w:val="12"/>
        </w:numPr>
        <w:ind w:left="1080"/>
        <w:rPr>
          <w:sz w:val="24"/>
          <w:szCs w:val="24"/>
        </w:rPr>
      </w:pPr>
      <w:r w:rsidRPr="003B0149">
        <w:rPr>
          <w:sz w:val="24"/>
          <w:szCs w:val="24"/>
        </w:rPr>
        <w:t xml:space="preserve">Define the role of the </w:t>
      </w:r>
      <w:proofErr w:type="spellStart"/>
      <w:r w:rsidRPr="003B0149">
        <w:rPr>
          <w:sz w:val="24"/>
          <w:szCs w:val="24"/>
        </w:rPr>
        <w:t>recordkeeper</w:t>
      </w:r>
      <w:proofErr w:type="spellEnd"/>
      <w:r w:rsidRPr="003B0149">
        <w:rPr>
          <w:sz w:val="24"/>
          <w:szCs w:val="24"/>
        </w:rPr>
        <w:t>, trading partner, transfer agent and mutual fund company or investment manager in a participant trade request</w:t>
      </w:r>
    </w:p>
    <w:p w:rsidR="00466ABE" w:rsidRDefault="009631C7" w:rsidP="00CD4F25">
      <w:pPr>
        <w:pStyle w:val="ListParagraph"/>
        <w:numPr>
          <w:ilvl w:val="0"/>
          <w:numId w:val="12"/>
        </w:numPr>
        <w:ind w:left="1080"/>
        <w:rPr>
          <w:sz w:val="24"/>
          <w:szCs w:val="24"/>
        </w:rPr>
      </w:pPr>
      <w:r w:rsidRPr="00F65FF6">
        <w:rPr>
          <w:sz w:val="24"/>
          <w:szCs w:val="24"/>
        </w:rPr>
        <w:t xml:space="preserve">Define the following terms:  </w:t>
      </w:r>
      <w:r w:rsidR="00F65FF6">
        <w:rPr>
          <w:sz w:val="24"/>
          <w:szCs w:val="24"/>
        </w:rPr>
        <w:t>dollar certain trade, unit certain trade, forward pricing, omnibus level trading, trading deadlines and settlement date</w:t>
      </w:r>
    </w:p>
    <w:p w:rsidR="00F65FF6" w:rsidRPr="00F65FF6" w:rsidRDefault="00F65FF6" w:rsidP="00CD4F25">
      <w:pPr>
        <w:pStyle w:val="ListParagraph"/>
        <w:ind w:left="1080"/>
        <w:rPr>
          <w:sz w:val="24"/>
          <w:szCs w:val="24"/>
        </w:rPr>
      </w:pPr>
    </w:p>
    <w:p w:rsidR="009631C7" w:rsidRPr="003B0149" w:rsidRDefault="00CD4F25" w:rsidP="009631C7">
      <w:pPr>
        <w:ind w:left="360"/>
        <w:rPr>
          <w:sz w:val="24"/>
          <w:szCs w:val="24"/>
        </w:rPr>
      </w:pPr>
      <w:r>
        <w:rPr>
          <w:sz w:val="24"/>
          <w:szCs w:val="24"/>
        </w:rPr>
        <w:t xml:space="preserve">L.  </w:t>
      </w:r>
      <w:r w:rsidR="009631C7" w:rsidRPr="003B0149">
        <w:rPr>
          <w:sz w:val="24"/>
          <w:szCs w:val="24"/>
        </w:rPr>
        <w:t>Describe the processing of various transactions in qualified plans</w:t>
      </w:r>
    </w:p>
    <w:p w:rsidR="009631C7" w:rsidRPr="003B0149" w:rsidRDefault="009631C7" w:rsidP="009631C7">
      <w:pPr>
        <w:pStyle w:val="ListParagraph"/>
        <w:numPr>
          <w:ilvl w:val="0"/>
          <w:numId w:val="13"/>
        </w:numPr>
        <w:rPr>
          <w:sz w:val="24"/>
          <w:szCs w:val="24"/>
        </w:rPr>
      </w:pPr>
      <w:r w:rsidRPr="003B0149">
        <w:rPr>
          <w:sz w:val="24"/>
          <w:szCs w:val="24"/>
        </w:rPr>
        <w:t>List the steps taken to execute trades when processing contribution</w:t>
      </w:r>
      <w:r w:rsidR="00B05B6E">
        <w:rPr>
          <w:sz w:val="24"/>
          <w:szCs w:val="24"/>
        </w:rPr>
        <w:t>s</w:t>
      </w:r>
      <w:r w:rsidRPr="003B0149">
        <w:rPr>
          <w:sz w:val="24"/>
          <w:szCs w:val="24"/>
        </w:rPr>
        <w:t>, distributions and loans in a daily valuation plan</w:t>
      </w:r>
      <w:r w:rsidR="00A166B4">
        <w:rPr>
          <w:sz w:val="24"/>
          <w:szCs w:val="24"/>
        </w:rPr>
        <w:t xml:space="preserve"> </w:t>
      </w:r>
    </w:p>
    <w:p w:rsidR="00A166B4" w:rsidRDefault="00A166B4" w:rsidP="009631C7">
      <w:pPr>
        <w:pStyle w:val="ListParagraph"/>
        <w:numPr>
          <w:ilvl w:val="0"/>
          <w:numId w:val="13"/>
        </w:numPr>
        <w:rPr>
          <w:sz w:val="24"/>
          <w:szCs w:val="24"/>
        </w:rPr>
      </w:pPr>
      <w:r>
        <w:rPr>
          <w:sz w:val="24"/>
          <w:szCs w:val="24"/>
        </w:rPr>
        <w:t>Describe the four types of fund transfer requests for money already invested in a participant account</w:t>
      </w:r>
    </w:p>
    <w:p w:rsidR="00466ABE" w:rsidRPr="003B0149" w:rsidRDefault="00466ABE" w:rsidP="00466ABE">
      <w:pPr>
        <w:pStyle w:val="ListParagraph"/>
        <w:rPr>
          <w:sz w:val="24"/>
          <w:szCs w:val="24"/>
        </w:rPr>
      </w:pPr>
    </w:p>
    <w:p w:rsidR="009631C7" w:rsidRPr="003B0149" w:rsidRDefault="00A74D23" w:rsidP="009631C7">
      <w:pPr>
        <w:ind w:left="360"/>
        <w:rPr>
          <w:sz w:val="24"/>
          <w:szCs w:val="24"/>
        </w:rPr>
      </w:pPr>
      <w:r w:rsidRPr="00A74D23">
        <w:rPr>
          <w:sz w:val="24"/>
          <w:szCs w:val="24"/>
        </w:rPr>
        <w:t>N.</w:t>
      </w:r>
      <w:r>
        <w:rPr>
          <w:b/>
          <w:sz w:val="24"/>
          <w:szCs w:val="24"/>
        </w:rPr>
        <w:t xml:space="preserve"> </w:t>
      </w:r>
      <w:r w:rsidR="009631C7" w:rsidRPr="003B0149">
        <w:rPr>
          <w:sz w:val="24"/>
          <w:szCs w:val="24"/>
        </w:rPr>
        <w:t xml:space="preserve">  Recognize trading errors and outline possible correction methods</w:t>
      </w:r>
    </w:p>
    <w:p w:rsidR="009631C7" w:rsidRPr="003B0149" w:rsidRDefault="009631C7" w:rsidP="00A74D23">
      <w:pPr>
        <w:pStyle w:val="ListParagraph"/>
        <w:numPr>
          <w:ilvl w:val="0"/>
          <w:numId w:val="14"/>
        </w:numPr>
        <w:ind w:left="1080"/>
        <w:rPr>
          <w:sz w:val="24"/>
          <w:szCs w:val="24"/>
        </w:rPr>
      </w:pPr>
      <w:r w:rsidRPr="003B0149">
        <w:rPr>
          <w:sz w:val="24"/>
          <w:szCs w:val="24"/>
        </w:rPr>
        <w:t>Identify when and how trading errors may occur in the daily valuation environment</w:t>
      </w:r>
    </w:p>
    <w:p w:rsidR="009631C7" w:rsidRPr="003B0149" w:rsidRDefault="009631C7" w:rsidP="00A74D23">
      <w:pPr>
        <w:pStyle w:val="ListParagraph"/>
        <w:numPr>
          <w:ilvl w:val="0"/>
          <w:numId w:val="14"/>
        </w:numPr>
        <w:ind w:left="1080"/>
        <w:rPr>
          <w:sz w:val="24"/>
          <w:szCs w:val="24"/>
        </w:rPr>
      </w:pPr>
      <w:r w:rsidRPr="003B0149">
        <w:rPr>
          <w:sz w:val="24"/>
          <w:szCs w:val="24"/>
        </w:rPr>
        <w:t>Identify ethical concerns when correcting common trading errors in the daily valuation environment</w:t>
      </w:r>
    </w:p>
    <w:p w:rsidR="009631C7" w:rsidRDefault="009631C7" w:rsidP="00A74D23">
      <w:pPr>
        <w:pStyle w:val="ListParagraph"/>
        <w:numPr>
          <w:ilvl w:val="0"/>
          <w:numId w:val="14"/>
        </w:numPr>
        <w:ind w:left="1080"/>
        <w:rPr>
          <w:sz w:val="24"/>
          <w:szCs w:val="24"/>
        </w:rPr>
      </w:pPr>
      <w:r w:rsidRPr="003B0149">
        <w:rPr>
          <w:sz w:val="24"/>
          <w:szCs w:val="24"/>
        </w:rPr>
        <w:t>List the benefits of a service agreement between the service provider and the plan administrator</w:t>
      </w:r>
    </w:p>
    <w:p w:rsidR="00466ABE" w:rsidRPr="003B0149" w:rsidRDefault="00466ABE" w:rsidP="00466ABE">
      <w:pPr>
        <w:pStyle w:val="ListParagraph"/>
        <w:rPr>
          <w:sz w:val="24"/>
          <w:szCs w:val="24"/>
        </w:rPr>
      </w:pPr>
    </w:p>
    <w:p w:rsidR="009631C7" w:rsidRPr="003B0149" w:rsidRDefault="00A74D23" w:rsidP="00A74D23">
      <w:pPr>
        <w:ind w:left="720" w:hanging="360"/>
        <w:rPr>
          <w:sz w:val="24"/>
          <w:szCs w:val="24"/>
        </w:rPr>
      </w:pPr>
      <w:r w:rsidRPr="00A74D23">
        <w:rPr>
          <w:sz w:val="24"/>
          <w:szCs w:val="24"/>
        </w:rPr>
        <w:t>O.</w:t>
      </w:r>
      <w:r>
        <w:rPr>
          <w:b/>
          <w:sz w:val="24"/>
          <w:szCs w:val="24"/>
        </w:rPr>
        <w:t xml:space="preserve"> </w:t>
      </w:r>
      <w:r w:rsidR="009631C7" w:rsidRPr="003B0149">
        <w:rPr>
          <w:sz w:val="24"/>
          <w:szCs w:val="24"/>
        </w:rPr>
        <w:t xml:space="preserve">  Explain the process and issues involved in co</w:t>
      </w:r>
      <w:r w:rsidR="00871E5A">
        <w:rPr>
          <w:sz w:val="24"/>
          <w:szCs w:val="24"/>
        </w:rPr>
        <w:t>nverting plans from one retirement plan administration firm</w:t>
      </w:r>
      <w:r w:rsidR="009631C7" w:rsidRPr="003B0149">
        <w:rPr>
          <w:sz w:val="24"/>
          <w:szCs w:val="24"/>
        </w:rPr>
        <w:t xml:space="preserve"> or type to another</w:t>
      </w:r>
    </w:p>
    <w:p w:rsidR="009631C7" w:rsidRDefault="009631C7" w:rsidP="00A74D23">
      <w:pPr>
        <w:pStyle w:val="ListParagraph"/>
        <w:numPr>
          <w:ilvl w:val="0"/>
          <w:numId w:val="15"/>
        </w:numPr>
        <w:ind w:left="1080"/>
        <w:rPr>
          <w:sz w:val="24"/>
          <w:szCs w:val="24"/>
        </w:rPr>
      </w:pPr>
      <w:r w:rsidRPr="003B0149">
        <w:rPr>
          <w:sz w:val="24"/>
          <w:szCs w:val="24"/>
        </w:rPr>
        <w:t>List data needed and the time frame involv</w:t>
      </w:r>
      <w:r w:rsidR="00A166B4">
        <w:rPr>
          <w:sz w:val="24"/>
          <w:szCs w:val="24"/>
        </w:rPr>
        <w:t xml:space="preserve">ed when converting from one administrative service provider </w:t>
      </w:r>
      <w:r w:rsidRPr="003B0149">
        <w:rPr>
          <w:sz w:val="24"/>
          <w:szCs w:val="24"/>
        </w:rPr>
        <w:t>to another</w:t>
      </w:r>
    </w:p>
    <w:p w:rsidR="009631C7" w:rsidRPr="003B0149" w:rsidRDefault="009631C7" w:rsidP="00A74D23">
      <w:pPr>
        <w:pStyle w:val="ListParagraph"/>
        <w:numPr>
          <w:ilvl w:val="0"/>
          <w:numId w:val="15"/>
        </w:numPr>
        <w:ind w:left="1080"/>
        <w:rPr>
          <w:sz w:val="24"/>
          <w:szCs w:val="24"/>
        </w:rPr>
      </w:pPr>
      <w:r w:rsidRPr="003B0149">
        <w:rPr>
          <w:sz w:val="24"/>
          <w:szCs w:val="24"/>
        </w:rPr>
        <w:t>Describe a blackout notice and to whom and when it is provided</w:t>
      </w:r>
    </w:p>
    <w:p w:rsidR="00466ABE" w:rsidRDefault="009631C7" w:rsidP="00A74D23">
      <w:pPr>
        <w:pStyle w:val="ListParagraph"/>
        <w:numPr>
          <w:ilvl w:val="0"/>
          <w:numId w:val="15"/>
        </w:numPr>
        <w:ind w:left="1080"/>
        <w:rPr>
          <w:sz w:val="24"/>
          <w:szCs w:val="24"/>
        </w:rPr>
      </w:pPr>
      <w:r w:rsidRPr="003B0149">
        <w:rPr>
          <w:sz w:val="24"/>
          <w:szCs w:val="24"/>
        </w:rPr>
        <w:t xml:space="preserve">Explain the impact a conversion has on various </w:t>
      </w:r>
      <w:r w:rsidR="00FF6CF3">
        <w:rPr>
          <w:sz w:val="24"/>
          <w:szCs w:val="24"/>
        </w:rPr>
        <w:t>daily valuation transaction types</w:t>
      </w:r>
      <w:r w:rsidRPr="003B0149">
        <w:rPr>
          <w:sz w:val="24"/>
          <w:szCs w:val="24"/>
        </w:rPr>
        <w:t xml:space="preserve"> </w:t>
      </w:r>
      <w:r w:rsidR="00FF6CF3">
        <w:rPr>
          <w:sz w:val="24"/>
          <w:szCs w:val="24"/>
        </w:rPr>
        <w:t>(</w:t>
      </w:r>
      <w:r w:rsidRPr="003B0149">
        <w:rPr>
          <w:sz w:val="24"/>
          <w:szCs w:val="24"/>
        </w:rPr>
        <w:t>e.g. contri</w:t>
      </w:r>
      <w:r w:rsidR="00FF6CF3">
        <w:rPr>
          <w:sz w:val="24"/>
          <w:szCs w:val="24"/>
        </w:rPr>
        <w:t>butions, transfers, withdrawals)</w:t>
      </w:r>
      <w:r w:rsidRPr="003B0149">
        <w:rPr>
          <w:sz w:val="24"/>
          <w:szCs w:val="24"/>
        </w:rPr>
        <w:t xml:space="preserve"> both during and after conversion</w:t>
      </w:r>
    </w:p>
    <w:p w:rsidR="00A166B4" w:rsidRPr="00A166B4" w:rsidRDefault="00A166B4" w:rsidP="00A166B4">
      <w:pPr>
        <w:pStyle w:val="ListParagraph"/>
        <w:rPr>
          <w:sz w:val="24"/>
          <w:szCs w:val="24"/>
        </w:rPr>
      </w:pPr>
    </w:p>
    <w:p w:rsidR="009631C7" w:rsidRPr="003B0149" w:rsidRDefault="00A74D23" w:rsidP="009631C7">
      <w:pPr>
        <w:ind w:left="360"/>
        <w:rPr>
          <w:sz w:val="24"/>
          <w:szCs w:val="24"/>
        </w:rPr>
      </w:pPr>
      <w:r w:rsidRPr="00A74D23">
        <w:rPr>
          <w:sz w:val="24"/>
          <w:szCs w:val="24"/>
        </w:rPr>
        <w:t>P.</w:t>
      </w:r>
      <w:r>
        <w:rPr>
          <w:b/>
          <w:sz w:val="24"/>
          <w:szCs w:val="24"/>
        </w:rPr>
        <w:t xml:space="preserve"> </w:t>
      </w:r>
      <w:r w:rsidR="009631C7" w:rsidRPr="003B0149">
        <w:rPr>
          <w:sz w:val="24"/>
          <w:szCs w:val="24"/>
        </w:rPr>
        <w:t xml:space="preserve">  Outline the various aspects of plan merger and plan termination situations</w:t>
      </w:r>
    </w:p>
    <w:p w:rsidR="009631C7" w:rsidRPr="003B0149" w:rsidRDefault="009631C7" w:rsidP="00A74D23">
      <w:pPr>
        <w:pStyle w:val="ListParagraph"/>
        <w:numPr>
          <w:ilvl w:val="0"/>
          <w:numId w:val="17"/>
        </w:numPr>
        <w:ind w:left="1080"/>
        <w:rPr>
          <w:sz w:val="24"/>
          <w:szCs w:val="24"/>
        </w:rPr>
      </w:pPr>
      <w:r w:rsidRPr="003B0149">
        <w:rPr>
          <w:sz w:val="24"/>
          <w:szCs w:val="24"/>
        </w:rPr>
        <w:t>List the reasons plan sponsors might merge two retirement plans</w:t>
      </w:r>
    </w:p>
    <w:p w:rsidR="009631C7" w:rsidRDefault="009631C7" w:rsidP="00A74D23">
      <w:pPr>
        <w:pStyle w:val="ListParagraph"/>
        <w:numPr>
          <w:ilvl w:val="0"/>
          <w:numId w:val="17"/>
        </w:numPr>
        <w:ind w:left="1080"/>
        <w:rPr>
          <w:sz w:val="24"/>
          <w:szCs w:val="24"/>
        </w:rPr>
      </w:pPr>
      <w:r w:rsidRPr="003B0149">
        <w:rPr>
          <w:sz w:val="24"/>
          <w:szCs w:val="24"/>
        </w:rPr>
        <w:t>Explain the difference between a frozen and a terminated qualified plan</w:t>
      </w:r>
    </w:p>
    <w:p w:rsidR="00B05B6E" w:rsidRPr="003B0149" w:rsidRDefault="00B05B6E" w:rsidP="00A74D23">
      <w:pPr>
        <w:pStyle w:val="ListParagraph"/>
        <w:numPr>
          <w:ilvl w:val="0"/>
          <w:numId w:val="17"/>
        </w:numPr>
        <w:ind w:left="1080"/>
        <w:rPr>
          <w:sz w:val="24"/>
          <w:szCs w:val="24"/>
        </w:rPr>
      </w:pPr>
      <w:r>
        <w:rPr>
          <w:sz w:val="24"/>
          <w:szCs w:val="24"/>
        </w:rPr>
        <w:t>Describe the ramifications of a partial termination and what causes one to occur</w:t>
      </w:r>
    </w:p>
    <w:p w:rsidR="009631C7" w:rsidRDefault="009631C7" w:rsidP="00A74D23">
      <w:pPr>
        <w:pStyle w:val="ListParagraph"/>
        <w:numPr>
          <w:ilvl w:val="0"/>
          <w:numId w:val="17"/>
        </w:numPr>
        <w:ind w:left="1080"/>
        <w:rPr>
          <w:sz w:val="24"/>
          <w:szCs w:val="24"/>
        </w:rPr>
      </w:pPr>
      <w:r w:rsidRPr="003B0149">
        <w:rPr>
          <w:sz w:val="24"/>
          <w:szCs w:val="24"/>
        </w:rPr>
        <w:t>Describe the general requirements for terminating a qualified retirement plan</w:t>
      </w:r>
    </w:p>
    <w:p w:rsidR="00FF6CF3" w:rsidRPr="003B0149" w:rsidRDefault="00D04541" w:rsidP="00A74D23">
      <w:pPr>
        <w:pStyle w:val="ListParagraph"/>
        <w:numPr>
          <w:ilvl w:val="0"/>
          <w:numId w:val="17"/>
        </w:numPr>
        <w:ind w:left="1080"/>
        <w:rPr>
          <w:sz w:val="24"/>
          <w:szCs w:val="24"/>
        </w:rPr>
      </w:pPr>
      <w:r>
        <w:rPr>
          <w:sz w:val="24"/>
          <w:szCs w:val="24"/>
        </w:rPr>
        <w:t>Describe whic</w:t>
      </w:r>
      <w:r w:rsidR="00FF6CF3">
        <w:rPr>
          <w:sz w:val="24"/>
          <w:szCs w:val="24"/>
        </w:rPr>
        <w:t xml:space="preserve">h plans are covered by </w:t>
      </w:r>
      <w:r>
        <w:rPr>
          <w:sz w:val="24"/>
          <w:szCs w:val="24"/>
        </w:rPr>
        <w:t>PBGC</w:t>
      </w:r>
    </w:p>
    <w:p w:rsidR="009631C7" w:rsidRPr="003B0149" w:rsidRDefault="009631C7" w:rsidP="00A74D23">
      <w:pPr>
        <w:pStyle w:val="ListParagraph"/>
        <w:numPr>
          <w:ilvl w:val="0"/>
          <w:numId w:val="17"/>
        </w:numPr>
        <w:ind w:left="1080"/>
        <w:rPr>
          <w:sz w:val="24"/>
          <w:szCs w:val="24"/>
        </w:rPr>
      </w:pPr>
      <w:r w:rsidRPr="003B0149">
        <w:rPr>
          <w:sz w:val="24"/>
          <w:szCs w:val="24"/>
        </w:rPr>
        <w:t>Describe the implications of terminating a plan covered by the Pension Benefit Guaranty Corporation</w:t>
      </w:r>
    </w:p>
    <w:p w:rsidR="009631C7" w:rsidRPr="003B0149" w:rsidRDefault="009631C7" w:rsidP="009631C7">
      <w:pPr>
        <w:rPr>
          <w:sz w:val="24"/>
          <w:szCs w:val="24"/>
        </w:rPr>
      </w:pPr>
    </w:p>
    <w:p w:rsidR="009631C7" w:rsidRPr="003B0149" w:rsidRDefault="009631C7" w:rsidP="009631C7">
      <w:pPr>
        <w:rPr>
          <w:sz w:val="24"/>
          <w:szCs w:val="24"/>
        </w:rPr>
      </w:pPr>
    </w:p>
    <w:p w:rsidR="009631C7" w:rsidRPr="003B0149" w:rsidRDefault="009631C7" w:rsidP="009631C7">
      <w:pPr>
        <w:pStyle w:val="Heading2"/>
        <w:numPr>
          <w:ilvl w:val="0"/>
          <w:numId w:val="1"/>
        </w:numPr>
        <w:ind w:left="360"/>
        <w:rPr>
          <w:szCs w:val="24"/>
        </w:rPr>
      </w:pPr>
      <w:r w:rsidRPr="003B0149">
        <w:rPr>
          <w:szCs w:val="24"/>
        </w:rPr>
        <w:t>INSTRUCTOR'S EXPECTATIONS OF STUDENTS IN CLASS</w:t>
      </w:r>
    </w:p>
    <w:p w:rsidR="00881804" w:rsidRPr="00F43B19" w:rsidRDefault="00881804" w:rsidP="00881804">
      <w:pPr>
        <w:pStyle w:val="ListParagraph"/>
        <w:ind w:left="1440"/>
        <w:rPr>
          <w:snapToGrid w:val="0"/>
          <w:sz w:val="24"/>
          <w:szCs w:val="24"/>
        </w:rPr>
      </w:pPr>
    </w:p>
    <w:p w:rsidR="009631C7" w:rsidRDefault="009631C7" w:rsidP="009631C7">
      <w:pPr>
        <w:pStyle w:val="Heading2"/>
        <w:numPr>
          <w:ilvl w:val="0"/>
          <w:numId w:val="1"/>
        </w:numPr>
        <w:ind w:left="360"/>
        <w:rPr>
          <w:szCs w:val="24"/>
        </w:rPr>
      </w:pPr>
      <w:r w:rsidRPr="003B0149">
        <w:rPr>
          <w:szCs w:val="24"/>
        </w:rPr>
        <w:t>TEXTBOOKS AND OTHER REQUIRED MATERIALS</w:t>
      </w:r>
    </w:p>
    <w:p w:rsidR="009631C7" w:rsidRPr="003B0149" w:rsidRDefault="009631C7" w:rsidP="00DE7047">
      <w:pPr>
        <w:rPr>
          <w:snapToGrid w:val="0"/>
          <w:sz w:val="24"/>
          <w:szCs w:val="24"/>
        </w:rPr>
      </w:pPr>
    </w:p>
    <w:p w:rsidR="009631C7" w:rsidRDefault="009631C7" w:rsidP="009631C7">
      <w:pPr>
        <w:pStyle w:val="Heading3"/>
        <w:numPr>
          <w:ilvl w:val="0"/>
          <w:numId w:val="1"/>
        </w:numPr>
        <w:spacing w:before="0" w:after="0"/>
        <w:ind w:left="360"/>
        <w:rPr>
          <w:rFonts w:ascii="Times New Roman" w:hAnsi="Times New Roman" w:cs="Times New Roman"/>
          <w:bCs w:val="0"/>
          <w:sz w:val="24"/>
          <w:szCs w:val="24"/>
        </w:rPr>
      </w:pPr>
      <w:r w:rsidRPr="003B0149">
        <w:rPr>
          <w:rFonts w:ascii="Times New Roman" w:hAnsi="Times New Roman" w:cs="Times New Roman"/>
          <w:bCs w:val="0"/>
          <w:sz w:val="24"/>
          <w:szCs w:val="24"/>
        </w:rPr>
        <w:t>REFERENCES</w:t>
      </w:r>
    </w:p>
    <w:p w:rsidR="009631C7" w:rsidRPr="003B0149" w:rsidRDefault="009631C7" w:rsidP="00DE7047">
      <w:pPr>
        <w:rPr>
          <w:sz w:val="24"/>
          <w:szCs w:val="24"/>
        </w:rPr>
      </w:pPr>
    </w:p>
    <w:p w:rsidR="009631C7" w:rsidRDefault="009631C7" w:rsidP="009631C7">
      <w:pPr>
        <w:pStyle w:val="Heading3"/>
        <w:numPr>
          <w:ilvl w:val="0"/>
          <w:numId w:val="1"/>
        </w:numPr>
        <w:spacing w:before="0" w:after="0"/>
        <w:ind w:left="360"/>
        <w:rPr>
          <w:rFonts w:ascii="Times New Roman" w:hAnsi="Times New Roman" w:cs="Times New Roman"/>
          <w:bCs w:val="0"/>
          <w:sz w:val="24"/>
          <w:szCs w:val="24"/>
        </w:rPr>
      </w:pPr>
      <w:r w:rsidRPr="003B0149">
        <w:rPr>
          <w:rFonts w:ascii="Times New Roman" w:hAnsi="Times New Roman" w:cs="Times New Roman"/>
          <w:bCs w:val="0"/>
          <w:sz w:val="24"/>
          <w:szCs w:val="24"/>
        </w:rPr>
        <w:t>METHODS OF INSTRUCTION AND EVALUATION</w:t>
      </w:r>
    </w:p>
    <w:p w:rsidR="009631C7" w:rsidRPr="003B0149" w:rsidRDefault="009631C7" w:rsidP="00DE7047">
      <w:pPr>
        <w:pStyle w:val="Heading2"/>
        <w:ind w:left="0" w:firstLine="0"/>
        <w:rPr>
          <w:szCs w:val="24"/>
        </w:rPr>
      </w:pPr>
    </w:p>
    <w:p w:rsidR="009631C7" w:rsidRPr="003B0149" w:rsidRDefault="009631C7" w:rsidP="009631C7">
      <w:pPr>
        <w:pStyle w:val="Heading2"/>
        <w:numPr>
          <w:ilvl w:val="0"/>
          <w:numId w:val="1"/>
        </w:numPr>
        <w:ind w:left="360"/>
        <w:rPr>
          <w:szCs w:val="24"/>
        </w:rPr>
      </w:pPr>
      <w:r w:rsidRPr="003B0149">
        <w:rPr>
          <w:szCs w:val="24"/>
        </w:rPr>
        <w:t>ATTENDANCE REQUIREMENTS</w:t>
      </w:r>
    </w:p>
    <w:p w:rsidR="009631C7" w:rsidRPr="003B0149" w:rsidRDefault="009631C7" w:rsidP="009631C7">
      <w:pPr>
        <w:ind w:left="-360"/>
        <w:rPr>
          <w:sz w:val="24"/>
          <w:szCs w:val="24"/>
        </w:rPr>
      </w:pPr>
    </w:p>
    <w:p w:rsidR="009631C7" w:rsidRDefault="009631C7" w:rsidP="009631C7">
      <w:pPr>
        <w:pStyle w:val="Heading2"/>
        <w:numPr>
          <w:ilvl w:val="0"/>
          <w:numId w:val="1"/>
        </w:numPr>
        <w:ind w:left="360"/>
        <w:rPr>
          <w:szCs w:val="24"/>
        </w:rPr>
      </w:pPr>
      <w:r w:rsidRPr="003B0149">
        <w:rPr>
          <w:szCs w:val="24"/>
        </w:rPr>
        <w:t>COURSE OUTLINE</w:t>
      </w:r>
    </w:p>
    <w:p w:rsidR="00F43B19" w:rsidRPr="00F43B19" w:rsidRDefault="00F43B19" w:rsidP="00F43B19"/>
    <w:sectPr w:rsidR="00F43B19" w:rsidRPr="00F43B19" w:rsidSect="0070548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0D5B8A"/>
    <w:multiLevelType w:val="hybridMultilevel"/>
    <w:tmpl w:val="9EC0AA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BA090A"/>
    <w:multiLevelType w:val="hybridMultilevel"/>
    <w:tmpl w:val="FAD42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D75B8C"/>
    <w:multiLevelType w:val="hybridMultilevel"/>
    <w:tmpl w:val="CA8CE5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FA7552"/>
    <w:multiLevelType w:val="hybridMultilevel"/>
    <w:tmpl w:val="53985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DA10F4"/>
    <w:multiLevelType w:val="hybridMultilevel"/>
    <w:tmpl w:val="072A3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805719"/>
    <w:multiLevelType w:val="hybridMultilevel"/>
    <w:tmpl w:val="4E047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7D22573"/>
    <w:multiLevelType w:val="hybridMultilevel"/>
    <w:tmpl w:val="D6A29C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F54CD0"/>
    <w:multiLevelType w:val="hybridMultilevel"/>
    <w:tmpl w:val="34482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540922"/>
    <w:multiLevelType w:val="hybridMultilevel"/>
    <w:tmpl w:val="36B41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1468F8"/>
    <w:multiLevelType w:val="hybridMultilevel"/>
    <w:tmpl w:val="8DF226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900246"/>
    <w:multiLevelType w:val="hybridMultilevel"/>
    <w:tmpl w:val="C2DE6F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CC67FF"/>
    <w:multiLevelType w:val="hybridMultilevel"/>
    <w:tmpl w:val="C86EAD16"/>
    <w:lvl w:ilvl="0" w:tplc="660EC01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42630727"/>
    <w:multiLevelType w:val="hybridMultilevel"/>
    <w:tmpl w:val="268C3460"/>
    <w:lvl w:ilvl="0" w:tplc="04090001">
      <w:start w:val="1"/>
      <w:numFmt w:val="bullet"/>
      <w:lvlText w:val=""/>
      <w:lvlJc w:val="left"/>
      <w:pPr>
        <w:tabs>
          <w:tab w:val="num" w:pos="1080"/>
        </w:tabs>
        <w:ind w:left="1080" w:hanging="360"/>
      </w:pPr>
      <w:rPr>
        <w:rFonts w:ascii="Symbol" w:hAnsi="Symbol" w:hint="default"/>
      </w:rPr>
    </w:lvl>
    <w:lvl w:ilvl="1" w:tplc="2B7219B6">
      <w:start w:val="3"/>
      <w:numFmt w:val="bullet"/>
      <w:lvlText w:val=""/>
      <w:lvlJc w:val="left"/>
      <w:pPr>
        <w:tabs>
          <w:tab w:val="num" w:pos="1800"/>
        </w:tabs>
        <w:ind w:left="1800" w:hanging="360"/>
      </w:pPr>
      <w:rPr>
        <w:rFonts w:ascii="Symbol" w:eastAsia="Times New Roman" w:hAnsi="Symbol"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63C33D4"/>
    <w:multiLevelType w:val="hybridMultilevel"/>
    <w:tmpl w:val="EEEC89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1B7DC0"/>
    <w:multiLevelType w:val="hybridMultilevel"/>
    <w:tmpl w:val="1C74E5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1E90C3F"/>
    <w:multiLevelType w:val="hybridMultilevel"/>
    <w:tmpl w:val="08307E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557EAA"/>
    <w:multiLevelType w:val="hybridMultilevel"/>
    <w:tmpl w:val="1E446F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188664C"/>
    <w:multiLevelType w:val="hybridMultilevel"/>
    <w:tmpl w:val="77A43B32"/>
    <w:lvl w:ilvl="0" w:tplc="7354013C">
      <w:start w:val="8"/>
      <w:numFmt w:val="upp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CE44641"/>
    <w:multiLevelType w:val="hybridMultilevel"/>
    <w:tmpl w:val="FE545F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E283D65"/>
    <w:multiLevelType w:val="hybridMultilevel"/>
    <w:tmpl w:val="FC169B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2C420CC"/>
    <w:multiLevelType w:val="hybridMultilevel"/>
    <w:tmpl w:val="BEDCA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0D7B10"/>
    <w:multiLevelType w:val="hybridMultilevel"/>
    <w:tmpl w:val="E6247F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9"/>
  </w:num>
  <w:num w:numId="3">
    <w:abstractNumId w:val="2"/>
  </w:num>
  <w:num w:numId="4">
    <w:abstractNumId w:val="20"/>
  </w:num>
  <w:num w:numId="5">
    <w:abstractNumId w:val="21"/>
  </w:num>
  <w:num w:numId="6">
    <w:abstractNumId w:val="16"/>
  </w:num>
  <w:num w:numId="7">
    <w:abstractNumId w:val="10"/>
  </w:num>
  <w:num w:numId="8">
    <w:abstractNumId w:val="0"/>
  </w:num>
  <w:num w:numId="9">
    <w:abstractNumId w:val="6"/>
  </w:num>
  <w:num w:numId="10">
    <w:abstractNumId w:val="14"/>
  </w:num>
  <w:num w:numId="11">
    <w:abstractNumId w:val="19"/>
  </w:num>
  <w:num w:numId="12">
    <w:abstractNumId w:val="4"/>
  </w:num>
  <w:num w:numId="13">
    <w:abstractNumId w:val="18"/>
  </w:num>
  <w:num w:numId="14">
    <w:abstractNumId w:val="1"/>
  </w:num>
  <w:num w:numId="15">
    <w:abstractNumId w:val="7"/>
  </w:num>
  <w:num w:numId="16">
    <w:abstractNumId w:val="3"/>
  </w:num>
  <w:num w:numId="17">
    <w:abstractNumId w:val="8"/>
  </w:num>
  <w:num w:numId="18">
    <w:abstractNumId w:val="12"/>
  </w:num>
  <w:num w:numId="19">
    <w:abstractNumId w:val="5"/>
  </w:num>
  <w:num w:numId="20">
    <w:abstractNumId w:val="11"/>
  </w:num>
  <w:num w:numId="21">
    <w:abstractNumId w:val="1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C7"/>
    <w:rsid w:val="000377CA"/>
    <w:rsid w:val="001134AD"/>
    <w:rsid w:val="0011714F"/>
    <w:rsid w:val="00135DFB"/>
    <w:rsid w:val="00171B0B"/>
    <w:rsid w:val="00292649"/>
    <w:rsid w:val="002E735C"/>
    <w:rsid w:val="003C3734"/>
    <w:rsid w:val="00466ABE"/>
    <w:rsid w:val="004A7548"/>
    <w:rsid w:val="00544E86"/>
    <w:rsid w:val="005D180E"/>
    <w:rsid w:val="0060567C"/>
    <w:rsid w:val="006561A9"/>
    <w:rsid w:val="00686928"/>
    <w:rsid w:val="0070548F"/>
    <w:rsid w:val="00732414"/>
    <w:rsid w:val="007772CD"/>
    <w:rsid w:val="007B1F3E"/>
    <w:rsid w:val="007C379B"/>
    <w:rsid w:val="00812299"/>
    <w:rsid w:val="00871E5A"/>
    <w:rsid w:val="00881804"/>
    <w:rsid w:val="00896CC4"/>
    <w:rsid w:val="0096032B"/>
    <w:rsid w:val="009631C7"/>
    <w:rsid w:val="00967FBD"/>
    <w:rsid w:val="009A258E"/>
    <w:rsid w:val="00A111DB"/>
    <w:rsid w:val="00A15019"/>
    <w:rsid w:val="00A166B4"/>
    <w:rsid w:val="00A74D23"/>
    <w:rsid w:val="00AA2721"/>
    <w:rsid w:val="00AA615F"/>
    <w:rsid w:val="00AF7E68"/>
    <w:rsid w:val="00B05B6E"/>
    <w:rsid w:val="00B34607"/>
    <w:rsid w:val="00B36DB8"/>
    <w:rsid w:val="00C33402"/>
    <w:rsid w:val="00C466D3"/>
    <w:rsid w:val="00C77520"/>
    <w:rsid w:val="00CA141A"/>
    <w:rsid w:val="00CD2A98"/>
    <w:rsid w:val="00CD4F25"/>
    <w:rsid w:val="00CE0CB3"/>
    <w:rsid w:val="00D04541"/>
    <w:rsid w:val="00D65248"/>
    <w:rsid w:val="00DB20A1"/>
    <w:rsid w:val="00DE7047"/>
    <w:rsid w:val="00E21E17"/>
    <w:rsid w:val="00E61B40"/>
    <w:rsid w:val="00EC57A5"/>
    <w:rsid w:val="00ED595F"/>
    <w:rsid w:val="00F43B19"/>
    <w:rsid w:val="00F65FF6"/>
    <w:rsid w:val="00FA12CA"/>
    <w:rsid w:val="00FF6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E60058-601A-417B-8956-17716739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1C7"/>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9631C7"/>
    <w:pPr>
      <w:keepNext/>
      <w:ind w:left="720" w:hanging="720"/>
      <w:outlineLvl w:val="1"/>
    </w:pPr>
    <w:rPr>
      <w:b/>
      <w:snapToGrid w:val="0"/>
      <w:sz w:val="24"/>
    </w:rPr>
  </w:style>
  <w:style w:type="paragraph" w:styleId="Heading3">
    <w:name w:val="heading 3"/>
    <w:basedOn w:val="Normal"/>
    <w:next w:val="Normal"/>
    <w:link w:val="Heading3Char"/>
    <w:qFormat/>
    <w:rsid w:val="009631C7"/>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9631C7"/>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631C7"/>
    <w:rPr>
      <w:rFonts w:ascii="Times New Roman" w:eastAsia="Times New Roman" w:hAnsi="Times New Roman" w:cs="Times New Roman"/>
      <w:b/>
      <w:snapToGrid w:val="0"/>
      <w:sz w:val="24"/>
      <w:szCs w:val="20"/>
    </w:rPr>
  </w:style>
  <w:style w:type="character" w:customStyle="1" w:styleId="Heading3Char">
    <w:name w:val="Heading 3 Char"/>
    <w:basedOn w:val="DefaultParagraphFont"/>
    <w:link w:val="Heading3"/>
    <w:rsid w:val="009631C7"/>
    <w:rPr>
      <w:rFonts w:ascii="Arial" w:eastAsia="Times New Roman" w:hAnsi="Arial" w:cs="Arial"/>
      <w:b/>
      <w:bCs/>
      <w:sz w:val="26"/>
      <w:szCs w:val="26"/>
    </w:rPr>
  </w:style>
  <w:style w:type="character" w:customStyle="1" w:styleId="Heading5Char">
    <w:name w:val="Heading 5 Char"/>
    <w:basedOn w:val="DefaultParagraphFont"/>
    <w:link w:val="Heading5"/>
    <w:rsid w:val="009631C7"/>
    <w:rPr>
      <w:rFonts w:ascii="Times New Roman" w:eastAsia="Times New Roman" w:hAnsi="Times New Roman" w:cs="Times New Roman"/>
      <w:b/>
      <w:sz w:val="24"/>
      <w:szCs w:val="20"/>
    </w:rPr>
  </w:style>
  <w:style w:type="paragraph" w:styleId="BodyTextIndent">
    <w:name w:val="Body Text Indent"/>
    <w:basedOn w:val="Normal"/>
    <w:link w:val="BodyTextIndentChar"/>
    <w:rsid w:val="009631C7"/>
    <w:pPr>
      <w:ind w:left="720"/>
    </w:pPr>
    <w:rPr>
      <w:snapToGrid w:val="0"/>
      <w:sz w:val="24"/>
    </w:rPr>
  </w:style>
  <w:style w:type="character" w:customStyle="1" w:styleId="BodyTextIndentChar">
    <w:name w:val="Body Text Indent Char"/>
    <w:basedOn w:val="DefaultParagraphFont"/>
    <w:link w:val="BodyTextIndent"/>
    <w:rsid w:val="009631C7"/>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9631C7"/>
    <w:pPr>
      <w:ind w:left="720"/>
      <w:contextualSpacing/>
    </w:pPr>
  </w:style>
  <w:style w:type="paragraph" w:customStyle="1" w:styleId="Default">
    <w:name w:val="Default"/>
    <w:rsid w:val="007C379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67FBD"/>
    <w:rPr>
      <w:rFonts w:ascii="Tahoma" w:hAnsi="Tahoma" w:cs="Tahoma"/>
      <w:sz w:val="16"/>
      <w:szCs w:val="16"/>
    </w:rPr>
  </w:style>
  <w:style w:type="character" w:customStyle="1" w:styleId="BalloonTextChar">
    <w:name w:val="Balloon Text Char"/>
    <w:basedOn w:val="DefaultParagraphFont"/>
    <w:link w:val="BalloonText"/>
    <w:uiPriority w:val="99"/>
    <w:semiHidden/>
    <w:rsid w:val="00967FBD"/>
    <w:rPr>
      <w:rFonts w:ascii="Tahoma" w:eastAsia="Times New Roman" w:hAnsi="Tahoma" w:cs="Tahoma"/>
      <w:sz w:val="16"/>
      <w:szCs w:val="16"/>
    </w:rPr>
  </w:style>
  <w:style w:type="character" w:styleId="Hyperlink">
    <w:name w:val="Hyperlink"/>
    <w:basedOn w:val="DefaultParagraphFont"/>
    <w:uiPriority w:val="99"/>
    <w:unhideWhenUsed/>
    <w:rsid w:val="00CE0C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1640</Words>
  <Characters>9352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Howard, Jane</dc:creator>
  <cp:lastModifiedBy>Engel, Rayna</cp:lastModifiedBy>
  <cp:revision>4</cp:revision>
  <cp:lastPrinted>2016-02-22T17:25:00Z</cp:lastPrinted>
  <dcterms:created xsi:type="dcterms:W3CDTF">2016-02-22T17:25:00Z</dcterms:created>
  <dcterms:modified xsi:type="dcterms:W3CDTF">2016-03-15T14:36:00Z</dcterms:modified>
</cp:coreProperties>
</file>