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C" w:rsidRPr="00241362" w:rsidRDefault="00BF45FC" w:rsidP="00BF45FC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bookmarkEnd w:id="0"/>
      <w:r w:rsidRPr="00241362">
        <w:rPr>
          <w:b/>
          <w:sz w:val="20"/>
          <w:szCs w:val="20"/>
          <w:u w:val="single"/>
        </w:rPr>
        <w:t>INSTRUCTIONS</w:t>
      </w:r>
    </w:p>
    <w:p w:rsidR="00BF45FC" w:rsidRPr="00241362" w:rsidRDefault="00BF45FC" w:rsidP="00BF45FC">
      <w:pPr>
        <w:spacing w:after="0" w:line="240" w:lineRule="auto"/>
        <w:rPr>
          <w:sz w:val="20"/>
          <w:szCs w:val="20"/>
        </w:rPr>
      </w:pPr>
      <w:r w:rsidRPr="00241362">
        <w:rPr>
          <w:sz w:val="20"/>
          <w:szCs w:val="20"/>
        </w:rPr>
        <w:t xml:space="preserve">For each activity, system or process defined in the matrix, identify the level that most closely represents its current state. Explain in a brief statement why you chose that level. Then document in a brief statement what tasks need to be done in the </w:t>
      </w:r>
      <w:r w:rsidR="00E66E9B">
        <w:rPr>
          <w:sz w:val="20"/>
          <w:szCs w:val="20"/>
        </w:rPr>
        <w:t xml:space="preserve">near future </w:t>
      </w:r>
      <w:r w:rsidR="00E66E9B" w:rsidRPr="00241362">
        <w:rPr>
          <w:sz w:val="20"/>
          <w:szCs w:val="20"/>
        </w:rPr>
        <w:t>to</w:t>
      </w:r>
      <w:r w:rsidRPr="00241362">
        <w:rPr>
          <w:sz w:val="20"/>
          <w:szCs w:val="20"/>
        </w:rPr>
        <w:t xml:space="preserve"> advance that activity to the next level</w:t>
      </w:r>
      <w:r w:rsidR="00E66E9B">
        <w:rPr>
          <w:sz w:val="20"/>
          <w:szCs w:val="20"/>
        </w:rPr>
        <w:t xml:space="preserve">. This matrix aligns Barton’s Core Priorities, ENDs and the Higher Learning Commission’s Criteria for Accreditation.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BF45FC" w:rsidRPr="00241362" w:rsidTr="00BF45FC">
        <w:tc>
          <w:tcPr>
            <w:tcW w:w="2157" w:type="dxa"/>
            <w:vMerge w:val="restart"/>
          </w:tcPr>
          <w:p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10793" w:type="dxa"/>
            <w:gridSpan w:val="5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BF45FC" w:rsidRPr="00241362" w:rsidTr="00BF45FC">
        <w:tc>
          <w:tcPr>
            <w:tcW w:w="2157" w:type="dxa"/>
            <w:vMerge/>
          </w:tcPr>
          <w:p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BF45FC" w:rsidRPr="00241362" w:rsidTr="00BF45FC">
        <w:tc>
          <w:tcPr>
            <w:tcW w:w="2157" w:type="dxa"/>
            <w:vMerge/>
          </w:tcPr>
          <w:p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BF45FC" w:rsidRPr="00241362" w:rsidTr="00BF45FC">
        <w:tc>
          <w:tcPr>
            <w:tcW w:w="2157" w:type="dxa"/>
            <w:vMerge/>
          </w:tcPr>
          <w:p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8635" w:type="dxa"/>
            <w:gridSpan w:val="4"/>
          </w:tcPr>
          <w:p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</w:tr>
      <w:tr w:rsidR="00BF45FC" w:rsidRPr="00241362" w:rsidTr="00BF45FC">
        <w:tc>
          <w:tcPr>
            <w:tcW w:w="2157" w:type="dxa"/>
          </w:tcPr>
          <w:p w:rsidR="00BF45FC" w:rsidRPr="00241362" w:rsidRDefault="00BF45FC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DRIVE STUDENT SUCCESS</w:t>
            </w:r>
          </w:p>
        </w:tc>
        <w:tc>
          <w:tcPr>
            <w:tcW w:w="2158" w:type="dxa"/>
            <w:shd w:val="clear" w:color="auto" w:fill="00B0F0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</w:tr>
      <w:tr w:rsidR="00BF45FC" w:rsidRPr="00241362" w:rsidTr="00BF45FC">
        <w:tc>
          <w:tcPr>
            <w:tcW w:w="2157" w:type="dxa"/>
          </w:tcPr>
          <w:p w:rsidR="00BF45FC" w:rsidRPr="00241362" w:rsidRDefault="0019427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Mission clearly articulates student success as the college’s core purpose and that purpose is understood across the institution</w:t>
            </w:r>
          </w:p>
        </w:tc>
        <w:tc>
          <w:tcPr>
            <w:tcW w:w="2158" w:type="dxa"/>
            <w:shd w:val="clear" w:color="auto" w:fill="auto"/>
          </w:tcPr>
          <w:p w:rsidR="00BF45FC" w:rsidRPr="00241362" w:rsidRDefault="0019427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Formation, communication o</w:t>
            </w:r>
            <w:r w:rsidR="00B73179" w:rsidRPr="00241362">
              <w:rPr>
                <w:sz w:val="20"/>
                <w:szCs w:val="20"/>
              </w:rPr>
              <w:t>f mission is ad hoc, undirected</w:t>
            </w:r>
          </w:p>
        </w:tc>
        <w:tc>
          <w:tcPr>
            <w:tcW w:w="2158" w:type="dxa"/>
            <w:shd w:val="clear" w:color="auto" w:fill="auto"/>
          </w:tcPr>
          <w:p w:rsidR="00BF45FC" w:rsidRPr="00241362" w:rsidRDefault="00F6439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has developed a means of evaluating and refining its mission to the level it can be repeated over time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FF7604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approach to evaluating and refining its mission is clearly established to the point that consistent alignment between Mission and operations is possible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FF7604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routinely evaluates its mission based on standardized benchmarks (e.g., HLC Criteria) and via established means of stakeholder feedback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19427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mission clearly articulates student success as the institution’s core purpose; the mission</w:t>
            </w:r>
            <w:r w:rsidR="005706A2" w:rsidRPr="00241362">
              <w:rPr>
                <w:sz w:val="20"/>
                <w:szCs w:val="20"/>
              </w:rPr>
              <w:t xml:space="preserve"> is clearly understood,</w:t>
            </w:r>
            <w:r w:rsidRPr="00241362">
              <w:rPr>
                <w:sz w:val="20"/>
                <w:szCs w:val="20"/>
              </w:rPr>
              <w:t xml:space="preserve"> drives operations</w:t>
            </w:r>
            <w:r w:rsidR="005706A2" w:rsidRPr="00241362">
              <w:rPr>
                <w:sz w:val="20"/>
                <w:szCs w:val="20"/>
              </w:rPr>
              <w:t>, and is routinely evaluated</w:t>
            </w:r>
            <w:r w:rsidR="00F64399" w:rsidRPr="00241362">
              <w:rPr>
                <w:sz w:val="20"/>
                <w:szCs w:val="20"/>
              </w:rPr>
              <w:t xml:space="preserve"> and refined</w:t>
            </w:r>
            <w:r w:rsidR="005706A2" w:rsidRPr="00241362">
              <w:rPr>
                <w:sz w:val="20"/>
                <w:szCs w:val="20"/>
              </w:rPr>
              <w:t>.</w:t>
            </w:r>
          </w:p>
        </w:tc>
      </w:tr>
      <w:tr w:rsidR="00BF45FC" w:rsidRPr="00241362" w:rsidTr="00BF45FC">
        <w:tc>
          <w:tcPr>
            <w:tcW w:w="2157" w:type="dxa"/>
          </w:tcPr>
          <w:p w:rsidR="00BF45FC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clearly explains its academic and learning support programs and the requirements for student success</w:t>
            </w:r>
          </w:p>
        </w:tc>
        <w:tc>
          <w:tcPr>
            <w:tcW w:w="2158" w:type="dxa"/>
            <w:shd w:val="clear" w:color="auto" w:fill="auto"/>
          </w:tcPr>
          <w:p w:rsidR="00B73179" w:rsidRPr="00241362" w:rsidRDefault="00B7317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Student engagement and communication of requirements is ad hoc, undirected</w:t>
            </w:r>
          </w:p>
        </w:tc>
        <w:tc>
          <w:tcPr>
            <w:tcW w:w="2158" w:type="dxa"/>
            <w:shd w:val="clear" w:color="auto" w:fill="auto"/>
          </w:tcPr>
          <w:p w:rsidR="00BF45FC" w:rsidRPr="00241362" w:rsidRDefault="008670B8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Basic means of conveying requirements (e.g. Catalog, website) exist and maintained over time, but faculty, staff not necessarily involved in developing effective student relationships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8670B8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approach to communicating requirements &amp; expectations is clearly established to the point that consistent engagement between faculty/staff and students possible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000701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routinely evaluates its approach to communicating requirements &amp; expectations and focuses on continuous improvement of student engagement</w:t>
            </w:r>
          </w:p>
        </w:tc>
        <w:tc>
          <w:tcPr>
            <w:tcW w:w="2159" w:type="dxa"/>
            <w:shd w:val="clear" w:color="auto" w:fill="auto"/>
          </w:tcPr>
          <w:p w:rsidR="00BF45FC" w:rsidRPr="00241362" w:rsidRDefault="00561985" w:rsidP="002C07D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academic and learning support programs and services are clearly</w:t>
            </w:r>
            <w:r w:rsidR="002C07D5" w:rsidRPr="00241362">
              <w:rPr>
                <w:sz w:val="20"/>
                <w:szCs w:val="20"/>
              </w:rPr>
              <w:t xml:space="preserve"> &amp; consistently </w:t>
            </w:r>
            <w:r w:rsidRPr="00241362">
              <w:rPr>
                <w:sz w:val="20"/>
                <w:szCs w:val="20"/>
              </w:rPr>
              <w:t>explained. Students understand what’s expected from them to be successful.</w:t>
            </w: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provides high quality education wherever, however it’s delivered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B73179" w:rsidP="00AC597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De</w:t>
            </w:r>
            <w:r w:rsidR="00AC597A" w:rsidRPr="00241362">
              <w:rPr>
                <w:sz w:val="20"/>
                <w:szCs w:val="20"/>
              </w:rPr>
              <w:t>sign &amp; del</w:t>
            </w:r>
            <w:r w:rsidRPr="00241362">
              <w:rPr>
                <w:sz w:val="20"/>
                <w:szCs w:val="20"/>
              </w:rPr>
              <w:t>ivery of academics and support services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3F21C1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Design &amp; delivery of academics and support services is repeatable across the institution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3F21C1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 xml:space="preserve">Design &amp; delivery of academics and support services is standardized so that processes are consistent in all departments, programs </w:t>
            </w:r>
            <w:r w:rsidRPr="00241362">
              <w:rPr>
                <w:sz w:val="20"/>
                <w:szCs w:val="20"/>
              </w:rPr>
              <w:lastRenderedPageBreak/>
              <w:t>and locations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C71309" w:rsidP="00C7130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lastRenderedPageBreak/>
              <w:t xml:space="preserve">Barton routinely evaluates sufficiency of resources &amp; quality of pedagogy, curriculum and support services and manages the </w:t>
            </w:r>
            <w:r w:rsidRPr="00241362">
              <w:rPr>
                <w:sz w:val="20"/>
                <w:szCs w:val="20"/>
              </w:rPr>
              <w:lastRenderedPageBreak/>
              <w:t>continuous improvement of academics and services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C7130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lastRenderedPageBreak/>
              <w:t>Barton’s academics &amp; support services consistently meet the institution’s defined standards for student success</w:t>
            </w: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lastRenderedPageBreak/>
              <w:t>Student learning and program effectiveness are routinely evaluated, continuously improved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B7317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Assessment and program review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122C39" w:rsidP="00C7130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 xml:space="preserve">Learning outcomes and standards of performance for programs, services </w:t>
            </w:r>
            <w:r w:rsidR="00C71309" w:rsidRPr="00241362">
              <w:rPr>
                <w:sz w:val="20"/>
                <w:szCs w:val="20"/>
              </w:rPr>
              <w:t>exist, making possible assessment of student learning and program review, but these processes are not rigorous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C7130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Learning outcomes and standards of performance for programs, services are established across the institution and meaningful evaluation is taking place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C7130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routinely and rigorously evaluates student learning and the quality of its academic programs and visibly applies the results of evaluation to documentable continuous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22C3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can demonstrate that its students are consistently achieving at the desired levels for essential skill development, work preparedness, academic advancement, and personal enrichment</w:t>
            </w: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res</w:t>
            </w:r>
            <w:r w:rsidR="009733E0">
              <w:rPr>
                <w:sz w:val="20"/>
                <w:szCs w:val="20"/>
              </w:rPr>
              <w:t>ources, organizational structures</w:t>
            </w:r>
            <w:r w:rsidRPr="00241362">
              <w:rPr>
                <w:sz w:val="20"/>
                <w:szCs w:val="20"/>
              </w:rPr>
              <w:t xml:space="preserve"> are </w:t>
            </w:r>
            <w:r w:rsidR="009733E0">
              <w:rPr>
                <w:sz w:val="20"/>
                <w:szCs w:val="20"/>
              </w:rPr>
              <w:t xml:space="preserve">and planning process are </w:t>
            </w:r>
            <w:r w:rsidRPr="00241362">
              <w:rPr>
                <w:sz w:val="20"/>
                <w:szCs w:val="20"/>
              </w:rPr>
              <w:t>sufficient to create student success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E1546F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Planning is ad hoc, undirected; the college has no clear idea of the relationship between programming, resources, and organizational structure</w:t>
            </w:r>
            <w:r w:rsidR="009733E0">
              <w:rPr>
                <w:sz w:val="20"/>
                <w:szCs w:val="20"/>
              </w:rPr>
              <w:t xml:space="preserve"> or their impact on student success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991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integrated management model has been defined (Strategic Framework &amp; planning model) and</w:t>
            </w:r>
            <w:r w:rsidR="00147A4F">
              <w:rPr>
                <w:sz w:val="20"/>
                <w:szCs w:val="20"/>
              </w:rPr>
              <w:t xml:space="preserve"> demonstrates repeatability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4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integrated management model effectively aligns planning, budgeting &amp; programming with the aim of achieving the ENDs of the college’s Core Priorities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4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Barton routinely and rigorously evaluates and improves its integrated management model &amp; through it continuously improves the effectiveness of the college’s systems, processes and outcomes  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5C6B23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How Barton is organized and operates clearly leads to desired student success outcomes; its service areas, programs and services are compatible to its mission and within the scope of available resources</w:t>
            </w:r>
          </w:p>
        </w:tc>
      </w:tr>
    </w:tbl>
    <w:p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6A37FA" w:rsidRPr="00241362" w:rsidTr="0011299A">
        <w:tc>
          <w:tcPr>
            <w:tcW w:w="2157" w:type="dxa"/>
            <w:vMerge w:val="restart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10793" w:type="dxa"/>
            <w:gridSpan w:val="5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:rsidTr="000306BA">
        <w:tc>
          <w:tcPr>
            <w:tcW w:w="2157" w:type="dxa"/>
            <w:vMerge/>
          </w:tcPr>
          <w:p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:rsidTr="00A04179">
        <w:tc>
          <w:tcPr>
            <w:tcW w:w="2157" w:type="dxa"/>
          </w:tcPr>
          <w:p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CULTIVATE COMMUNITY ENGAGEMENT</w:t>
            </w: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4D63D6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includes external perspectives is evaluating, refining its mission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4D63D6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Interaction with the community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31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the means of involving external stakeholders in the definition of its mission and is able to repeat the process over time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2B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external stakeholders in the definition of its mission is fully document</w:t>
            </w:r>
            <w:r w:rsidR="002C31D9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, transparent to its communities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2B6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external stakeholders in the definition of its mission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4D63D6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consistently engages with key external stakeholders and responds to their needs as its mission and capacity allow</w:t>
            </w: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0246C9" w:rsidP="0002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its interaction with its communities, 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6F1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interaction with its communities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2C3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the means of involving external stakeholders in the definition of its mission and is able to repeat the process over time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2C3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external stakeholders in the definition of its mission is fully documented, transparent to its communities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2C3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external stakeholders in the definition of its mission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2C31D9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consistently engages with key external stakeholders and responds to their needs as its mission and capacity allow</w:t>
            </w: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5F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commitment to its communities is evident in its scope of academic programming, support services and locations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715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building partnerships or relationships with its communities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8142AF" w:rsidP="0081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the means of involving external stakeholders in the definition of its programming and is able to repeat the process over time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8142AF" w:rsidP="0081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Barton’s approach to involving external stakeholders in the definition of its programming is fully documented, transparent to its communities and is </w:t>
            </w:r>
            <w:r>
              <w:rPr>
                <w:sz w:val="20"/>
                <w:szCs w:val="20"/>
              </w:rPr>
              <w:lastRenderedPageBreak/>
              <w:t>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8142AF" w:rsidP="0081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Barton’s approach to involving external stakeholders in the definition of its programming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8142AF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consistently engages with key external stakeholders and responds to their needs as its mission and capacity allow</w:t>
            </w:r>
          </w:p>
        </w:tc>
      </w:tr>
      <w:tr w:rsidR="00BB505B" w:rsidRPr="00241362" w:rsidTr="00BF45FC">
        <w:tc>
          <w:tcPr>
            <w:tcW w:w="2157" w:type="dxa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Barton evaluates &amp; continuously improves teaching, learning and academics and support services in a way that addresses the workforce and economic needs of its communities</w:t>
            </w:r>
          </w:p>
        </w:tc>
        <w:tc>
          <w:tcPr>
            <w:tcW w:w="2158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relationship between Barton’s operations, programs and services to its service regions is unclear and approached in an ad hoc manner</w:t>
            </w:r>
          </w:p>
        </w:tc>
        <w:tc>
          <w:tcPr>
            <w:tcW w:w="2158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continuous improvement of teaching, learning, academics and support services has been defined and can be repeated over time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Learning outcomes and standards of performance for programs, services</w:t>
            </w:r>
            <w:r>
              <w:rPr>
                <w:sz w:val="20"/>
                <w:szCs w:val="20"/>
              </w:rPr>
              <w:t xml:space="preserve"> that are relevant to community needs</w:t>
            </w:r>
            <w:r w:rsidRPr="00241362">
              <w:rPr>
                <w:sz w:val="20"/>
                <w:szCs w:val="20"/>
              </w:rPr>
              <w:t xml:space="preserve"> are established across the institution and meaningful evaluation is taking place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routinely and rigorously evaluates student learning and the quality of its academic programs and visibly applies the results of evaluation to documentable continuous improvement</w:t>
            </w:r>
            <w:r>
              <w:rPr>
                <w:sz w:val="20"/>
                <w:szCs w:val="20"/>
              </w:rPr>
              <w:t xml:space="preserve"> in its ability to meet community needs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can demonstrate that its students are consistently achieving at the desired levels for essential skill development, work preparedness, academic advancement, and personal enrichment</w:t>
            </w:r>
            <w:r>
              <w:rPr>
                <w:sz w:val="20"/>
                <w:szCs w:val="20"/>
              </w:rPr>
              <w:t xml:space="preserve"> to meet community needs</w:t>
            </w:r>
          </w:p>
        </w:tc>
      </w:tr>
      <w:tr w:rsidR="00BB505B" w:rsidRPr="00241362" w:rsidTr="00BF45FC">
        <w:tc>
          <w:tcPr>
            <w:tcW w:w="2157" w:type="dxa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effectively aligns its resources, structures and processes to respond to challenges and opportunities in the communities it serves</w:t>
            </w:r>
          </w:p>
        </w:tc>
        <w:tc>
          <w:tcPr>
            <w:tcW w:w="2158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relationship between Barton’s operations, programs and services to its service regions is unclear and approached in an ad hoc manner</w:t>
            </w:r>
          </w:p>
        </w:tc>
        <w:tc>
          <w:tcPr>
            <w:tcW w:w="2158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integrated management model has been defined (Strategic Framework &amp; planning model) and demonstrates repeatability 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integrated management model effectively aligns planning, budgeting &amp; programming with the aim of achieving the ENDs of the college’s Core Priorities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Barton routinely and rigorously evaluates and improves its integrated management model &amp; through it continuously improves the effectiveness of the college’s systems, processes and outcomes  </w:t>
            </w:r>
          </w:p>
        </w:tc>
        <w:tc>
          <w:tcPr>
            <w:tcW w:w="2159" w:type="dxa"/>
            <w:shd w:val="clear" w:color="auto" w:fill="auto"/>
          </w:tcPr>
          <w:p w:rsidR="00BB505B" w:rsidRPr="00241362" w:rsidRDefault="00BB505B" w:rsidP="00BB505B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How Barton is organized and operates clearly leads to desired student success outcomes; its service areas, programs and services are compatible to its mission and within the scope of available resources</w:t>
            </w:r>
          </w:p>
        </w:tc>
      </w:tr>
    </w:tbl>
    <w:p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6A37FA" w:rsidRPr="00241362" w:rsidTr="0011299A">
        <w:tc>
          <w:tcPr>
            <w:tcW w:w="2157" w:type="dxa"/>
            <w:vMerge w:val="restart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10793" w:type="dxa"/>
            <w:gridSpan w:val="5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:rsidTr="00A04179">
        <w:tc>
          <w:tcPr>
            <w:tcW w:w="2157" w:type="dxa"/>
            <w:vMerge/>
          </w:tcPr>
          <w:p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:rsidTr="00A04179">
        <w:tc>
          <w:tcPr>
            <w:tcW w:w="2157" w:type="dxa"/>
          </w:tcPr>
          <w:p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OPTIMIZE EMPLOYEE EXPERIENCE</w:t>
            </w: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8D5530" w:rsidRPr="00241362" w:rsidTr="00BF45FC">
        <w:tc>
          <w:tcPr>
            <w:tcW w:w="2157" w:type="dxa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Mission &amp; Vision encompasses employee development as an institutional value</w:t>
            </w:r>
          </w:p>
        </w:tc>
        <w:tc>
          <w:tcPr>
            <w:tcW w:w="2158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Formation, communication of mission is ad hoc, undirected</w:t>
            </w:r>
          </w:p>
        </w:tc>
        <w:tc>
          <w:tcPr>
            <w:tcW w:w="2158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has developed a means of evaluating and refining its mission to the level it can be repeated over time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approach to evaluating and refining its mission is clearly established to the point that consistent alignment between Mission and operations is possible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routinely evaluates its mission based on standardized benchmarks (e.g., HLC Criteria) and via established means of stakeholder feedback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mission clearly articulates student success as the institution’s core purpose; the mission is clearly understood, drives operations, and is routinely evaluated and refined.</w:t>
            </w:r>
          </w:p>
        </w:tc>
      </w:tr>
      <w:tr w:rsidR="008D5530" w:rsidRPr="00241362" w:rsidTr="00BF45FC">
        <w:tc>
          <w:tcPr>
            <w:tcW w:w="2157" w:type="dxa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ad hoc, undirected; expectations and rewards are unclear</w:t>
            </w:r>
          </w:p>
        </w:tc>
        <w:tc>
          <w:tcPr>
            <w:tcW w:w="2158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the means of involving employees in the definition of its mission and is able to repeat the process over time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employees in the definition of its mission is fully documented, transparent to faculty and staff,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employees in the definition of its mission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8D5530" w:rsidRPr="00241362" w:rsidRDefault="008D5530" w:rsidP="008D5530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 xml:space="preserve">Barton consistently engages with </w:t>
            </w:r>
            <w:r>
              <w:rPr>
                <w:sz w:val="20"/>
                <w:szCs w:val="20"/>
              </w:rPr>
              <w:t>employees</w:t>
            </w:r>
            <w:r w:rsidRPr="00241362">
              <w:rPr>
                <w:sz w:val="20"/>
                <w:szCs w:val="20"/>
              </w:rPr>
              <w:t xml:space="preserve"> and responds to their needs as its mission and capacity allow</w:t>
            </w:r>
          </w:p>
        </w:tc>
      </w:tr>
      <w:tr w:rsidR="00EC04EC" w:rsidRPr="00241362" w:rsidTr="00BF45FC">
        <w:tc>
          <w:tcPr>
            <w:tcW w:w="2157" w:type="dxa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encourages and rewards innovation and creativity from both faculty &amp; staff</w:t>
            </w:r>
          </w:p>
        </w:tc>
        <w:tc>
          <w:tcPr>
            <w:tcW w:w="2158" w:type="dxa"/>
            <w:shd w:val="clear" w:color="auto" w:fill="auto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ad hoc, undirected; expectations and rewards are unclear</w:t>
            </w:r>
          </w:p>
        </w:tc>
        <w:tc>
          <w:tcPr>
            <w:tcW w:w="2158" w:type="dxa"/>
            <w:shd w:val="clear" w:color="auto" w:fill="auto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a means of promoting employee development that encourages and rewards innovation and creativity and is able to repeat this process over time</w:t>
            </w:r>
          </w:p>
        </w:tc>
        <w:tc>
          <w:tcPr>
            <w:tcW w:w="2159" w:type="dxa"/>
            <w:shd w:val="clear" w:color="auto" w:fill="auto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fully documented, transparent to faculty and staff,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EC04EC" w:rsidRPr="00241362" w:rsidRDefault="00EC04EC" w:rsidP="00EC04E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 xml:space="preserve">Barton consistently </w:t>
            </w:r>
            <w:r>
              <w:rPr>
                <w:sz w:val="20"/>
                <w:szCs w:val="20"/>
              </w:rPr>
              <w:t xml:space="preserve">promotes employee development, innovation and creativity </w:t>
            </w:r>
            <w:r w:rsidRPr="00241362">
              <w:rPr>
                <w:sz w:val="20"/>
                <w:szCs w:val="20"/>
              </w:rPr>
              <w:t>and responds to their needs as its mission and capacity allow</w:t>
            </w:r>
          </w:p>
        </w:tc>
      </w:tr>
      <w:tr w:rsidR="00163275" w:rsidRPr="00241362" w:rsidTr="00BF45FC">
        <w:tc>
          <w:tcPr>
            <w:tcW w:w="2157" w:type="dxa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&amp; staff engage in assessment of </w:t>
            </w:r>
            <w:r>
              <w:rPr>
                <w:sz w:val="20"/>
                <w:szCs w:val="20"/>
              </w:rPr>
              <w:lastRenderedPageBreak/>
              <w:t>learning, institutional effectiveness and personal development</w:t>
            </w:r>
          </w:p>
        </w:tc>
        <w:tc>
          <w:tcPr>
            <w:tcW w:w="2158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approach to involving employees in </w:t>
            </w:r>
            <w:r>
              <w:rPr>
                <w:sz w:val="20"/>
                <w:szCs w:val="20"/>
              </w:rPr>
              <w:lastRenderedPageBreak/>
              <w:t>continuous improvement is ad hoc, undirected; expectations and rewards are unclear</w:t>
            </w:r>
          </w:p>
        </w:tc>
        <w:tc>
          <w:tcPr>
            <w:tcW w:w="2158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 has established a means of involving </w:t>
            </w:r>
            <w:r>
              <w:rPr>
                <w:sz w:val="20"/>
                <w:szCs w:val="20"/>
              </w:rPr>
              <w:lastRenderedPageBreak/>
              <w:t>faculty and staff in meaningful assessment of learning, institutional effectiveness and personal development and is able to repeat this process over time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approach to involving faculty and </w:t>
            </w:r>
            <w:r>
              <w:rPr>
                <w:sz w:val="20"/>
                <w:szCs w:val="20"/>
              </w:rPr>
              <w:lastRenderedPageBreak/>
              <w:t>staff in assessment, institutional effectiveness and personal development is fully documented, transparent to faculty and staff,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approach to involving faculty and </w:t>
            </w:r>
            <w:r>
              <w:rPr>
                <w:sz w:val="20"/>
                <w:szCs w:val="20"/>
              </w:rPr>
              <w:lastRenderedPageBreak/>
              <w:t>staff in assessment, institutional effectiveness and personal development 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A327C1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lastRenderedPageBreak/>
              <w:t xml:space="preserve">Barton consistently </w:t>
            </w:r>
            <w:r>
              <w:rPr>
                <w:sz w:val="20"/>
                <w:szCs w:val="20"/>
              </w:rPr>
              <w:t>involve</w:t>
            </w:r>
            <w:r w:rsidR="00A327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faculty and </w:t>
            </w:r>
            <w:r>
              <w:rPr>
                <w:sz w:val="20"/>
                <w:szCs w:val="20"/>
              </w:rPr>
              <w:lastRenderedPageBreak/>
              <w:t>staff in assessment, institutional effectiv</w:t>
            </w:r>
            <w:r w:rsidR="00A327C1">
              <w:rPr>
                <w:sz w:val="20"/>
                <w:szCs w:val="20"/>
              </w:rPr>
              <w:t>eness, and personal development</w:t>
            </w:r>
          </w:p>
        </w:tc>
      </w:tr>
      <w:tr w:rsidR="00163275" w:rsidRPr="00241362" w:rsidTr="00BF45FC">
        <w:tc>
          <w:tcPr>
            <w:tcW w:w="2157" w:type="dxa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Barton makes best use of its available resources to promote faculty and staff development</w:t>
            </w:r>
          </w:p>
        </w:tc>
        <w:tc>
          <w:tcPr>
            <w:tcW w:w="2158" w:type="dxa"/>
            <w:shd w:val="clear" w:color="auto" w:fill="auto"/>
          </w:tcPr>
          <w:p w:rsidR="00163275" w:rsidRPr="00241362" w:rsidRDefault="00163275" w:rsidP="00A3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Barton’s approach to </w:t>
            </w:r>
            <w:r w:rsidR="00A327C1">
              <w:rPr>
                <w:sz w:val="20"/>
                <w:szCs w:val="20"/>
              </w:rPr>
              <w:t xml:space="preserve">promoting employee development </w:t>
            </w:r>
            <w:r>
              <w:rPr>
                <w:sz w:val="20"/>
                <w:szCs w:val="20"/>
              </w:rPr>
              <w:t>is ad hoc, undirected; expectations and rewards are unclear</w:t>
            </w:r>
          </w:p>
        </w:tc>
        <w:tc>
          <w:tcPr>
            <w:tcW w:w="2158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established a means of promoting employee development that encourages and rewards innovation and creativity and is able to repeat this process over time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fully documented, transparent to faculty and staff, and is subject to some degree of evaluation and improvement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employee development is subject to effective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163275" w:rsidRPr="00241362" w:rsidRDefault="00163275" w:rsidP="0016327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 xml:space="preserve">Barton consistently </w:t>
            </w:r>
            <w:r>
              <w:rPr>
                <w:sz w:val="20"/>
                <w:szCs w:val="20"/>
              </w:rPr>
              <w:t xml:space="preserve">promotes employee development, innovation and creativity </w:t>
            </w:r>
            <w:r w:rsidRPr="00241362">
              <w:rPr>
                <w:sz w:val="20"/>
                <w:szCs w:val="20"/>
              </w:rPr>
              <w:t>and responds to their needs as its mission and capacity allow</w:t>
            </w:r>
          </w:p>
        </w:tc>
      </w:tr>
    </w:tbl>
    <w:p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9"/>
        <w:gridCol w:w="2159"/>
        <w:gridCol w:w="2159"/>
      </w:tblGrid>
      <w:tr w:rsidR="006A37FA" w:rsidRPr="00241362" w:rsidTr="0011299A">
        <w:tc>
          <w:tcPr>
            <w:tcW w:w="2157" w:type="dxa"/>
            <w:vMerge w:val="restart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10793" w:type="dxa"/>
            <w:gridSpan w:val="5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:rsidTr="0011299A">
        <w:tc>
          <w:tcPr>
            <w:tcW w:w="2157" w:type="dxa"/>
            <w:vMerge/>
          </w:tcPr>
          <w:p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:rsidTr="00A04179">
        <w:tc>
          <w:tcPr>
            <w:tcW w:w="2157" w:type="dxa"/>
            <w:vMerge/>
          </w:tcPr>
          <w:p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:rsidTr="00A04179">
        <w:tc>
          <w:tcPr>
            <w:tcW w:w="2157" w:type="dxa"/>
          </w:tcPr>
          <w:p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EMPHASIZE INSTITUTIONAL EFFECTIVENESS</w:t>
            </w: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:rsidTr="00BF45FC">
        <w:tc>
          <w:tcPr>
            <w:tcW w:w="2157" w:type="dxa"/>
          </w:tcPr>
          <w:p w:rsidR="00561985" w:rsidRPr="00241362" w:rsidRDefault="0007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understand institutional effectiveness as a requirement of achieving Barton’s Mission &amp; Vision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6F14B6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Formation, communication of mission is ad hoc, undirected</w:t>
            </w:r>
          </w:p>
        </w:tc>
        <w:tc>
          <w:tcPr>
            <w:tcW w:w="2158" w:type="dxa"/>
            <w:shd w:val="clear" w:color="auto" w:fill="auto"/>
          </w:tcPr>
          <w:p w:rsidR="00561985" w:rsidRPr="00241362" w:rsidRDefault="00C00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institutional framework for integrated planning &amp; budgeting exists to assure that the college has the means of enacting it mission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10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framework for planning and budgeting consistently guides action that enables the college to enact its mission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10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framework for planning and budgeting is continuously improved to strengthen the linkage between mission and operations</w:t>
            </w:r>
          </w:p>
        </w:tc>
        <w:tc>
          <w:tcPr>
            <w:tcW w:w="2159" w:type="dxa"/>
            <w:shd w:val="clear" w:color="auto" w:fill="auto"/>
          </w:tcPr>
          <w:p w:rsidR="00561985" w:rsidRPr="00241362" w:rsidRDefault="00110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framework for planning and budgeting is continuously improved to strengthen the linkage between mission and operations</w:t>
            </w:r>
          </w:p>
        </w:tc>
      </w:tr>
      <w:tr w:rsidR="00FB429A" w:rsidRPr="00241362" w:rsidTr="00BF45FC">
        <w:tc>
          <w:tcPr>
            <w:tcW w:w="2157" w:type="dxa"/>
          </w:tcPr>
          <w:p w:rsidR="00FB429A" w:rsidRPr="00241362" w:rsidRDefault="00FB429A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6F14B6" w:rsidP="006F1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involving employees in continuous improvement is ad hoc, undirected; expectations and rewards are unclear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9524D8" w:rsidP="0095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has defined a basic approach to integrated planning and management that can be repeated over time and therefore create the basis for transparency &amp; accountability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9524D8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integrated planning model has been established and demonstrates a commitment to transparency and accountability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9524D8" w:rsidP="0095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builds the integrity of its integrated planning model through routine evaluation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9524D8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continuous improvement Barton’s integrated planning model maintains the highest possible levels of transparency and accountability</w:t>
            </w:r>
          </w:p>
        </w:tc>
      </w:tr>
      <w:tr w:rsidR="00FB429A" w:rsidRPr="00241362" w:rsidTr="00BF45FC">
        <w:tc>
          <w:tcPr>
            <w:tcW w:w="2157" w:type="dxa"/>
          </w:tcPr>
          <w:p w:rsidR="00FB429A" w:rsidRPr="00241362" w:rsidRDefault="00FB429A" w:rsidP="00FB42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Student learning and program effectiveness are routinely evaluated, continuously improved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7F68D3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continuous improvement of learning, academics and services is ad hoc, undirected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110379" w:rsidP="0020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integrated management system</w:t>
            </w:r>
            <w:r w:rsidR="002026BD">
              <w:rPr>
                <w:sz w:val="20"/>
                <w:szCs w:val="20"/>
              </w:rPr>
              <w:t xml:space="preserve"> has established the means to repeat student assessment &amp; program review over time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student assessment and program review are formally documented and consistently practiced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20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student assessment and program review are standardized and routinely evaluated and some improvements are made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20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student assessment and program review are rigorous, continuously improved and are clearly key drivers of integrated planning, budgeting and institutional improvement</w:t>
            </w:r>
          </w:p>
        </w:tc>
      </w:tr>
      <w:tr w:rsidR="00FB429A" w:rsidRPr="00241362" w:rsidTr="00BF45FC">
        <w:tc>
          <w:tcPr>
            <w:tcW w:w="2157" w:type="dxa"/>
          </w:tcPr>
          <w:p w:rsidR="00FB429A" w:rsidRPr="00241362" w:rsidRDefault="00FB429A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needs and opportunities for </w:t>
            </w:r>
            <w:r>
              <w:rPr>
                <w:sz w:val="20"/>
                <w:szCs w:val="20"/>
              </w:rPr>
              <w:lastRenderedPageBreak/>
              <w:t>improvement in academics and student support are central to Barton’s planning &amp; budgeting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approach to continuous </w:t>
            </w:r>
            <w:r>
              <w:rPr>
                <w:sz w:val="20"/>
                <w:szCs w:val="20"/>
              </w:rPr>
              <w:lastRenderedPageBreak/>
              <w:t>improvement of learning, academics and services is ad hoc, undirected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2026BD" w:rsidP="0020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integrated management system </w:t>
            </w:r>
            <w:r>
              <w:rPr>
                <w:sz w:val="20"/>
                <w:szCs w:val="20"/>
              </w:rPr>
              <w:lastRenderedPageBreak/>
              <w:t>has established</w:t>
            </w:r>
            <w:r w:rsidR="00401421">
              <w:rPr>
                <w:sz w:val="20"/>
                <w:szCs w:val="20"/>
              </w:rPr>
              <w:t xml:space="preserve"> academics </w:t>
            </w:r>
            <w:r w:rsidR="000F632C">
              <w:rPr>
                <w:sz w:val="20"/>
                <w:szCs w:val="20"/>
              </w:rPr>
              <w:t xml:space="preserve">&amp; student support </w:t>
            </w:r>
            <w:r w:rsidR="00401421">
              <w:rPr>
                <w:sz w:val="20"/>
                <w:szCs w:val="20"/>
              </w:rPr>
              <w:t>as the institution’s core purpose and its</w:t>
            </w:r>
            <w:r w:rsidR="000F632C">
              <w:rPr>
                <w:sz w:val="20"/>
                <w:szCs w:val="20"/>
              </w:rPr>
              <w:t xml:space="preserve"> approach to aligning their needs &amp; opportunities to planning and budgeting is repeatable</w:t>
            </w:r>
            <w:r w:rsidR="00401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E66E9B" w:rsidP="00E66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leadership continues to improve </w:t>
            </w:r>
            <w:r>
              <w:rPr>
                <w:sz w:val="20"/>
                <w:szCs w:val="20"/>
              </w:rPr>
              <w:lastRenderedPageBreak/>
              <w:t>the alignment between planning and budgeting and the needs and opportunities for improvement in academics and student support services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E66E9B" w:rsidP="00E66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</w:t>
            </w:r>
            <w:r w:rsidR="00481143">
              <w:rPr>
                <w:sz w:val="20"/>
                <w:szCs w:val="20"/>
              </w:rPr>
              <w:t xml:space="preserve">leadership have initiated routine </w:t>
            </w:r>
            <w:r w:rsidR="00481143">
              <w:rPr>
                <w:sz w:val="20"/>
                <w:szCs w:val="20"/>
              </w:rPr>
              <w:lastRenderedPageBreak/>
              <w:t xml:space="preserve">evaluation of the college’s </w:t>
            </w:r>
            <w:r>
              <w:rPr>
                <w:sz w:val="20"/>
                <w:szCs w:val="20"/>
              </w:rPr>
              <w:t>integrated management system</w:t>
            </w:r>
            <w:r w:rsidR="00481143">
              <w:rPr>
                <w:sz w:val="20"/>
                <w:szCs w:val="20"/>
              </w:rPr>
              <w:t xml:space="preserve"> and seek intentional improvement in its alignment to academics and student support services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481143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Barton’s leadership team have developed  </w:t>
            </w:r>
            <w:r>
              <w:rPr>
                <w:sz w:val="20"/>
                <w:szCs w:val="20"/>
              </w:rPr>
              <w:lastRenderedPageBreak/>
              <w:t xml:space="preserve">a dynamic, flexible approach to planning and budgeting and are continuously </w:t>
            </w:r>
            <w:r w:rsidR="009B43A9">
              <w:rPr>
                <w:sz w:val="20"/>
                <w:szCs w:val="20"/>
              </w:rPr>
              <w:t>improving its alignment to academics and student support services</w:t>
            </w:r>
          </w:p>
        </w:tc>
      </w:tr>
      <w:tr w:rsidR="00FB429A" w:rsidRPr="00241362" w:rsidTr="00BF45FC">
        <w:tc>
          <w:tcPr>
            <w:tcW w:w="2157" w:type="dxa"/>
          </w:tcPr>
          <w:p w:rsidR="00FB429A" w:rsidRPr="00241362" w:rsidRDefault="00F12323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Barton employs an integrated management model to promote the college’s long-term sustainability 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approach to planning, budgeting and institutional effectiveness is ad hoc, undirected</w:t>
            </w:r>
          </w:p>
        </w:tc>
        <w:tc>
          <w:tcPr>
            <w:tcW w:w="2158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institutional framework for integrated planning and budgeting exists, providing a means of repeating key process over time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to enact the framework for planning and budgeting are in place and consistently practiced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integrated management system exists and is subject to routine evaluation and continuous improvement</w:t>
            </w:r>
          </w:p>
        </w:tc>
        <w:tc>
          <w:tcPr>
            <w:tcW w:w="2159" w:type="dxa"/>
            <w:shd w:val="clear" w:color="auto" w:fill="auto"/>
          </w:tcPr>
          <w:p w:rsidR="00FB429A" w:rsidRPr="00241362" w:rsidRDefault="002026BD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consistently engages in systematic, integrated planning and works systematically to improve its performance</w:t>
            </w:r>
          </w:p>
        </w:tc>
      </w:tr>
    </w:tbl>
    <w:p w:rsidR="001A4B5C" w:rsidRPr="00241362" w:rsidRDefault="001A4B5C" w:rsidP="00F12323">
      <w:pPr>
        <w:rPr>
          <w:sz w:val="20"/>
          <w:szCs w:val="20"/>
        </w:rPr>
      </w:pPr>
    </w:p>
    <w:sectPr w:rsidR="001A4B5C" w:rsidRPr="00241362" w:rsidSect="00BF45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C"/>
    <w:rsid w:val="00000701"/>
    <w:rsid w:val="000246C9"/>
    <w:rsid w:val="00070845"/>
    <w:rsid w:val="000F632C"/>
    <w:rsid w:val="00110379"/>
    <w:rsid w:val="00122C39"/>
    <w:rsid w:val="00147A4F"/>
    <w:rsid w:val="00163275"/>
    <w:rsid w:val="00171970"/>
    <w:rsid w:val="0019427C"/>
    <w:rsid w:val="001A4B5C"/>
    <w:rsid w:val="002026BD"/>
    <w:rsid w:val="00213919"/>
    <w:rsid w:val="00241362"/>
    <w:rsid w:val="00241E10"/>
    <w:rsid w:val="002B630F"/>
    <w:rsid w:val="002C07D5"/>
    <w:rsid w:val="002C31D9"/>
    <w:rsid w:val="00316964"/>
    <w:rsid w:val="0037694D"/>
    <w:rsid w:val="003F21C1"/>
    <w:rsid w:val="00401421"/>
    <w:rsid w:val="00417CA0"/>
    <w:rsid w:val="00481143"/>
    <w:rsid w:val="004D63D6"/>
    <w:rsid w:val="00561985"/>
    <w:rsid w:val="005706A2"/>
    <w:rsid w:val="005C6B23"/>
    <w:rsid w:val="005F3ED1"/>
    <w:rsid w:val="006A37FA"/>
    <w:rsid w:val="006F14B6"/>
    <w:rsid w:val="007152A2"/>
    <w:rsid w:val="007F68D3"/>
    <w:rsid w:val="008142AF"/>
    <w:rsid w:val="008670B8"/>
    <w:rsid w:val="008678C9"/>
    <w:rsid w:val="008C7F4E"/>
    <w:rsid w:val="008D5530"/>
    <w:rsid w:val="009524D8"/>
    <w:rsid w:val="009733E0"/>
    <w:rsid w:val="00991C63"/>
    <w:rsid w:val="009B43A9"/>
    <w:rsid w:val="009D79AA"/>
    <w:rsid w:val="00A04179"/>
    <w:rsid w:val="00A327C1"/>
    <w:rsid w:val="00AC597A"/>
    <w:rsid w:val="00B73179"/>
    <w:rsid w:val="00BB505B"/>
    <w:rsid w:val="00BC7F28"/>
    <w:rsid w:val="00BF45FC"/>
    <w:rsid w:val="00C00726"/>
    <w:rsid w:val="00C71309"/>
    <w:rsid w:val="00CB1F6E"/>
    <w:rsid w:val="00D12D21"/>
    <w:rsid w:val="00E1546F"/>
    <w:rsid w:val="00E16ECD"/>
    <w:rsid w:val="00E63582"/>
    <w:rsid w:val="00E66E9B"/>
    <w:rsid w:val="00E84B57"/>
    <w:rsid w:val="00EC04EC"/>
    <w:rsid w:val="00F12323"/>
    <w:rsid w:val="00F64399"/>
    <w:rsid w:val="00FB429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2673</Words>
  <Characters>15238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E. George II</dc:creator>
  <cp:keywords/>
  <dc:description/>
  <cp:lastModifiedBy>Charles Perkins</cp:lastModifiedBy>
  <cp:revision>2</cp:revision>
  <cp:lastPrinted>2015-03-31T12:32:00Z</cp:lastPrinted>
  <dcterms:created xsi:type="dcterms:W3CDTF">2015-05-07T18:46:00Z</dcterms:created>
  <dcterms:modified xsi:type="dcterms:W3CDTF">2015-05-07T18:46:00Z</dcterms:modified>
</cp:coreProperties>
</file>