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A1" w:rsidRPr="00453EA1" w:rsidRDefault="00453EA1" w:rsidP="00453EA1">
      <w:pPr>
        <w:pStyle w:val="TOCHeading"/>
        <w:spacing w:before="120"/>
        <w:jc w:val="center"/>
        <w:rPr>
          <w:rFonts w:asciiTheme="minorHAnsi" w:eastAsia="Calibri" w:hAnsiTheme="minorHAnsi" w:cstheme="minorHAnsi"/>
          <w:b/>
          <w:u w:val="single"/>
        </w:rPr>
      </w:pPr>
      <w:r w:rsidRPr="00453EA1">
        <w:rPr>
          <w:rFonts w:asciiTheme="minorHAnsi" w:eastAsia="Calibri" w:hAnsiTheme="minorHAnsi" w:cstheme="minorHAnsi"/>
          <w:b/>
          <w:u w:val="single"/>
        </w:rPr>
        <w:t>Academic Year/Term Guidelines by U.S. Dep</w:t>
      </w:r>
      <w:r w:rsidR="001E293A">
        <w:rPr>
          <w:rFonts w:asciiTheme="minorHAnsi" w:eastAsia="Calibri" w:hAnsiTheme="minorHAnsi" w:cstheme="minorHAnsi"/>
          <w:b/>
          <w:u w:val="single"/>
        </w:rPr>
        <w:t>artmen</w:t>
      </w:r>
      <w:r w:rsidRPr="00453EA1">
        <w:rPr>
          <w:rFonts w:asciiTheme="minorHAnsi" w:eastAsia="Calibri" w:hAnsiTheme="minorHAnsi" w:cstheme="minorHAnsi"/>
          <w:b/>
          <w:u w:val="single"/>
        </w:rPr>
        <w:t>t of ED</w:t>
      </w:r>
    </w:p>
    <w:p w:rsidR="00453EA1" w:rsidRPr="00453EA1" w:rsidRDefault="00453EA1" w:rsidP="00453EA1">
      <w:pPr>
        <w:rPr>
          <w:rFonts w:cstheme="minorHAnsi"/>
        </w:rPr>
      </w:pPr>
    </w:p>
    <w:p w:rsidR="00876E45" w:rsidRDefault="00453EA1" w:rsidP="00453EA1">
      <w:pPr>
        <w:pStyle w:val="ListParagraph"/>
        <w:numPr>
          <w:ilvl w:val="0"/>
          <w:numId w:val="1"/>
        </w:numPr>
        <w:rPr>
          <w:rFonts w:cstheme="minorHAnsi"/>
          <w:sz w:val="28"/>
          <w:szCs w:val="28"/>
        </w:rPr>
      </w:pPr>
      <w:r w:rsidRPr="00453EA1">
        <w:rPr>
          <w:rFonts w:cstheme="minorHAnsi"/>
          <w:sz w:val="28"/>
          <w:szCs w:val="28"/>
        </w:rPr>
        <w:t>Minimum academic year must = 30 weeks + 24 credit hours.  (Barton’s definition = 30 weeks + 30  credit hours)</w:t>
      </w:r>
    </w:p>
    <w:p w:rsidR="00453EA1" w:rsidRDefault="00453EA1" w:rsidP="00876E45">
      <w:pPr>
        <w:pStyle w:val="ListParagraph"/>
        <w:rPr>
          <w:rFonts w:cstheme="minorHAnsi"/>
          <w:sz w:val="28"/>
          <w:szCs w:val="28"/>
        </w:rPr>
      </w:pPr>
      <w:r w:rsidRPr="00453EA1">
        <w:rPr>
          <w:rFonts w:cstheme="minorHAnsi"/>
          <w:sz w:val="28"/>
          <w:szCs w:val="28"/>
        </w:rPr>
        <w:t xml:space="preserve"> </w:t>
      </w:r>
    </w:p>
    <w:p w:rsidR="00ED2824" w:rsidRDefault="00453EA1" w:rsidP="00ED2824">
      <w:pPr>
        <w:pStyle w:val="ListParagraph"/>
        <w:numPr>
          <w:ilvl w:val="0"/>
          <w:numId w:val="1"/>
        </w:numPr>
        <w:rPr>
          <w:rFonts w:cstheme="minorHAnsi"/>
          <w:sz w:val="28"/>
          <w:szCs w:val="28"/>
        </w:rPr>
      </w:pPr>
      <w:r w:rsidRPr="00876E45">
        <w:rPr>
          <w:rFonts w:cstheme="minorHAnsi"/>
          <w:sz w:val="28"/>
          <w:szCs w:val="28"/>
        </w:rPr>
        <w:t>A semester must be</w:t>
      </w:r>
      <w:r w:rsidR="00ED2824">
        <w:rPr>
          <w:rFonts w:cstheme="minorHAnsi"/>
          <w:sz w:val="28"/>
          <w:szCs w:val="28"/>
        </w:rPr>
        <w:t xml:space="preserve"> at least</w:t>
      </w:r>
      <w:r w:rsidRPr="00876E45">
        <w:rPr>
          <w:rFonts w:cstheme="minorHAnsi"/>
          <w:sz w:val="28"/>
          <w:szCs w:val="28"/>
        </w:rPr>
        <w:t xml:space="preserve"> 15 – 17 </w:t>
      </w:r>
      <w:r w:rsidR="00ED2824">
        <w:rPr>
          <w:rFonts w:cstheme="minorHAnsi"/>
          <w:sz w:val="28"/>
          <w:szCs w:val="28"/>
        </w:rPr>
        <w:t>and no longer than 21 weeks.</w:t>
      </w:r>
      <w:r w:rsidRPr="00876E45">
        <w:rPr>
          <w:rFonts w:cstheme="minorHAnsi"/>
          <w:sz w:val="28"/>
          <w:szCs w:val="28"/>
        </w:rPr>
        <w:t xml:space="preserve">  </w:t>
      </w:r>
      <w:r w:rsidR="00876E45" w:rsidRPr="00876E45">
        <w:rPr>
          <w:rFonts w:cstheme="minorHAnsi"/>
          <w:sz w:val="28"/>
          <w:szCs w:val="28"/>
        </w:rPr>
        <w:t>(Exception: Summer may be less.)</w:t>
      </w:r>
    </w:p>
    <w:p w:rsidR="00ED2824" w:rsidRPr="00ED2824" w:rsidRDefault="00ED2824" w:rsidP="00ED2824">
      <w:pPr>
        <w:pStyle w:val="ListParagraph"/>
        <w:rPr>
          <w:rFonts w:cstheme="minorHAnsi"/>
          <w:color w:val="FF0000"/>
          <w:sz w:val="28"/>
          <w:szCs w:val="28"/>
        </w:rPr>
      </w:pPr>
    </w:p>
    <w:p w:rsidR="00453EA1" w:rsidRPr="00ED2824" w:rsidRDefault="00876E45" w:rsidP="00ED2824">
      <w:pPr>
        <w:pStyle w:val="ListParagraph"/>
        <w:numPr>
          <w:ilvl w:val="0"/>
          <w:numId w:val="1"/>
        </w:numPr>
        <w:rPr>
          <w:rFonts w:cstheme="minorHAnsi"/>
          <w:color w:val="000000" w:themeColor="text1"/>
          <w:sz w:val="28"/>
          <w:szCs w:val="28"/>
        </w:rPr>
      </w:pPr>
      <w:r w:rsidRPr="00ED2824">
        <w:rPr>
          <w:rFonts w:cstheme="minorHAnsi"/>
          <w:color w:val="000000" w:themeColor="text1"/>
          <w:sz w:val="28"/>
          <w:szCs w:val="28"/>
        </w:rPr>
        <w:t>Fall/Spring semesters must total 30 weeks for Barton’s defined academic year.</w:t>
      </w:r>
    </w:p>
    <w:p w:rsidR="00453EA1" w:rsidRPr="00453EA1" w:rsidRDefault="00453EA1" w:rsidP="00453EA1">
      <w:pPr>
        <w:pStyle w:val="ListParagraph"/>
        <w:rPr>
          <w:rFonts w:cstheme="minorHAnsi"/>
          <w:sz w:val="28"/>
          <w:szCs w:val="28"/>
        </w:rPr>
      </w:pPr>
    </w:p>
    <w:p w:rsidR="00ED2824" w:rsidRPr="00ED2824" w:rsidRDefault="00453EA1" w:rsidP="00ED2824">
      <w:pPr>
        <w:pStyle w:val="ListParagraph"/>
        <w:numPr>
          <w:ilvl w:val="0"/>
          <w:numId w:val="1"/>
        </w:numPr>
        <w:rPr>
          <w:rFonts w:cstheme="minorHAnsi"/>
          <w:sz w:val="28"/>
          <w:szCs w:val="28"/>
        </w:rPr>
      </w:pPr>
      <w:r w:rsidRPr="00453EA1">
        <w:rPr>
          <w:rFonts w:cstheme="minorHAnsi"/>
          <w:sz w:val="28"/>
          <w:szCs w:val="28"/>
        </w:rPr>
        <w:t>Certificate programs must be at least 15 weeks in length.</w:t>
      </w:r>
      <w:r w:rsidR="00ED2824">
        <w:rPr>
          <w:rFonts w:cstheme="minorHAnsi"/>
          <w:sz w:val="28"/>
          <w:szCs w:val="28"/>
        </w:rPr>
        <w:br/>
      </w:r>
    </w:p>
    <w:p w:rsidR="00453EA1" w:rsidRPr="00ED2824" w:rsidRDefault="00ED2824" w:rsidP="00453EA1">
      <w:pPr>
        <w:pStyle w:val="ListParagraph"/>
        <w:numPr>
          <w:ilvl w:val="0"/>
          <w:numId w:val="1"/>
        </w:numPr>
        <w:rPr>
          <w:rFonts w:cstheme="minorHAnsi"/>
          <w:color w:val="000000" w:themeColor="text1"/>
          <w:sz w:val="28"/>
          <w:szCs w:val="28"/>
        </w:rPr>
      </w:pPr>
      <w:r w:rsidRPr="00ED2824">
        <w:rPr>
          <w:rFonts w:cstheme="minorHAnsi"/>
          <w:color w:val="000000" w:themeColor="text1"/>
          <w:sz w:val="28"/>
          <w:szCs w:val="28"/>
        </w:rPr>
        <w:t xml:space="preserve">Semester start and </w:t>
      </w:r>
      <w:r w:rsidR="00C359F0" w:rsidRPr="00ED2824">
        <w:rPr>
          <w:rFonts w:cstheme="minorHAnsi"/>
          <w:color w:val="000000" w:themeColor="text1"/>
          <w:sz w:val="28"/>
          <w:szCs w:val="28"/>
        </w:rPr>
        <w:t>end dates cannot overlap with another semester</w:t>
      </w:r>
      <w:r w:rsidRPr="00ED2824">
        <w:rPr>
          <w:rFonts w:cstheme="minorHAnsi"/>
          <w:color w:val="000000" w:themeColor="text1"/>
          <w:sz w:val="28"/>
          <w:szCs w:val="28"/>
        </w:rPr>
        <w:t>.</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Exception: Clinical Courses</w:t>
      </w:r>
    </w:p>
    <w:p w:rsidR="00453EA1" w:rsidRDefault="00453EA1" w:rsidP="00453EA1">
      <w:pPr>
        <w:ind w:left="720"/>
        <w:rPr>
          <w:rFonts w:cstheme="minorHAnsi"/>
        </w:rPr>
      </w:pPr>
      <w:r w:rsidRPr="00453EA1">
        <w:rPr>
          <w:rFonts w:cstheme="minorHAnsi"/>
        </w:rPr>
        <w:t>Periods of clinical work such as med</w:t>
      </w:r>
      <w:r>
        <w:rPr>
          <w:rFonts w:cstheme="minorHAnsi"/>
        </w:rPr>
        <w:t xml:space="preserve">ical </w:t>
      </w:r>
      <w:r w:rsidRPr="00453EA1">
        <w:rPr>
          <w:rFonts w:cstheme="minorHAnsi"/>
        </w:rPr>
        <w:t>which is conducted outside the classroom may not be included in a standard term, unles</w:t>
      </w:r>
      <w:r>
        <w:rPr>
          <w:rFonts w:cstheme="minorHAnsi"/>
        </w:rPr>
        <w:t xml:space="preserve">s </w:t>
      </w:r>
      <w:r w:rsidRPr="00453EA1">
        <w:rPr>
          <w:rFonts w:cstheme="minorHAnsi"/>
          <w:u w:val="single"/>
        </w:rPr>
        <w:t>all</w:t>
      </w:r>
      <w:r>
        <w:rPr>
          <w:rFonts w:cstheme="minorHAnsi"/>
        </w:rPr>
        <w:t xml:space="preserve"> of the following apply: </w:t>
      </w:r>
    </w:p>
    <w:p w:rsidR="00453EA1" w:rsidRPr="00453EA1" w:rsidRDefault="00453EA1" w:rsidP="00453EA1">
      <w:pPr>
        <w:pStyle w:val="ListParagraph"/>
        <w:numPr>
          <w:ilvl w:val="0"/>
          <w:numId w:val="3"/>
        </w:numPr>
        <w:rPr>
          <w:rFonts w:cstheme="minorHAnsi"/>
          <w:sz w:val="28"/>
          <w:szCs w:val="28"/>
        </w:rPr>
      </w:pPr>
      <w:r w:rsidRPr="00453EA1">
        <w:rPr>
          <w:rFonts w:cstheme="minorHAnsi"/>
        </w:rPr>
        <w:t xml:space="preserve">All students in the program must participate in practicum or clinical experience and its completion is required for graduates to apply for licensure or authorization or practice occupation those students intend to pursue; </w:t>
      </w:r>
    </w:p>
    <w:p w:rsidR="00453EA1" w:rsidRPr="00453EA1" w:rsidRDefault="00453EA1" w:rsidP="00453EA1">
      <w:pPr>
        <w:pStyle w:val="ListParagraph"/>
        <w:numPr>
          <w:ilvl w:val="0"/>
          <w:numId w:val="3"/>
        </w:numPr>
        <w:rPr>
          <w:rFonts w:cstheme="minorHAnsi"/>
          <w:sz w:val="28"/>
          <w:szCs w:val="28"/>
        </w:rPr>
      </w:pPr>
      <w:r w:rsidRPr="00453EA1">
        <w:rPr>
          <w:rFonts w:cstheme="minorHAnsi"/>
        </w:rPr>
        <w:t>The school has little or no control over the length or start/end dates of practicum or clinical experience. This may be due to constraints imposed by outside licensing bodies, or the need to accommodate schedules of entities with which students are being</w:t>
      </w:r>
      <w:r>
        <w:rPr>
          <w:rFonts w:cstheme="minorHAnsi"/>
        </w:rPr>
        <w:t xml:space="preserve"> placed; and </w:t>
      </w:r>
    </w:p>
    <w:p w:rsidR="00453EA1" w:rsidRPr="00453EA1" w:rsidRDefault="00453EA1" w:rsidP="00453EA1">
      <w:pPr>
        <w:pStyle w:val="ListParagraph"/>
        <w:numPr>
          <w:ilvl w:val="0"/>
          <w:numId w:val="3"/>
        </w:numPr>
        <w:rPr>
          <w:rFonts w:cstheme="minorHAnsi"/>
          <w:sz w:val="28"/>
          <w:szCs w:val="28"/>
        </w:rPr>
      </w:pPr>
      <w:r w:rsidRPr="00453EA1">
        <w:rPr>
          <w:rFonts w:cstheme="minorHAnsi"/>
        </w:rPr>
        <w:t xml:space="preserve">Credit hours associated with practicum or clinical experience must be associated with the term in which most of the training occurs, even if starting and ending dates do not exactly align with term dates and/or overlap with another term. </w:t>
      </w:r>
    </w:p>
    <w:p w:rsidR="00453EA1" w:rsidRDefault="00453EA1" w:rsidP="00453EA1">
      <w:pPr>
        <w:ind w:left="720"/>
        <w:rPr>
          <w:rFonts w:cstheme="minorHAnsi"/>
        </w:rPr>
      </w:pPr>
      <w:r w:rsidRPr="00453EA1">
        <w:rPr>
          <w:rFonts w:cstheme="minorHAnsi"/>
        </w:rPr>
        <w:t xml:space="preserve">If the clinical work meets all of the above criteria, terms which include such clinical work are not required to be considered nonstandard, nor are such programs required to be considered </w:t>
      </w:r>
      <w:proofErr w:type="spellStart"/>
      <w:r w:rsidRPr="00453EA1">
        <w:rPr>
          <w:rFonts w:cstheme="minorHAnsi"/>
        </w:rPr>
        <w:t>nonterm</w:t>
      </w:r>
      <w:proofErr w:type="spellEnd"/>
      <w:r w:rsidRPr="00453EA1">
        <w:rPr>
          <w:rFonts w:cstheme="minorHAnsi"/>
        </w:rPr>
        <w:t>, even if the clinical work overlaps another term. This flexibility is limited to required clinical periods associated with sta</w:t>
      </w:r>
      <w:r>
        <w:rPr>
          <w:rFonts w:cstheme="minorHAnsi"/>
        </w:rPr>
        <w:t>ndard term programs in medicine.*</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 xml:space="preserve">Academic programs may have different academic years.  </w:t>
      </w:r>
    </w:p>
    <w:p w:rsidR="00453EA1" w:rsidRPr="00453EA1" w:rsidRDefault="00453EA1" w:rsidP="00453EA1">
      <w:pPr>
        <w:pStyle w:val="ListParagraph"/>
        <w:rPr>
          <w:rFonts w:cstheme="minorHAnsi"/>
          <w:sz w:val="28"/>
          <w:szCs w:val="28"/>
        </w:rPr>
      </w:pPr>
      <w:r w:rsidRPr="00453EA1">
        <w:rPr>
          <w:rFonts w:cstheme="minorHAnsi"/>
          <w:sz w:val="28"/>
          <w:szCs w:val="28"/>
        </w:rPr>
        <w:t>(</w:t>
      </w:r>
      <w:proofErr w:type="gramStart"/>
      <w:r w:rsidRPr="00453EA1">
        <w:rPr>
          <w:rFonts w:cstheme="minorHAnsi"/>
          <w:sz w:val="28"/>
          <w:szCs w:val="28"/>
        </w:rPr>
        <w:t>e.g</w:t>
      </w:r>
      <w:proofErr w:type="gramEnd"/>
      <w:r w:rsidRPr="00453EA1">
        <w:rPr>
          <w:rFonts w:cstheme="minorHAnsi"/>
          <w:sz w:val="28"/>
          <w:szCs w:val="28"/>
        </w:rPr>
        <w:t>. Natural Gas, MLT, Liberal Studies, etc.)</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Different versions of the same academic program may have different academic years.</w:t>
      </w:r>
    </w:p>
    <w:p w:rsidR="00453EA1" w:rsidRPr="00453EA1" w:rsidRDefault="00453EA1" w:rsidP="00453EA1">
      <w:pPr>
        <w:ind w:left="360" w:firstLine="360"/>
        <w:rPr>
          <w:rFonts w:cstheme="minorHAnsi"/>
          <w:sz w:val="28"/>
          <w:szCs w:val="28"/>
        </w:rPr>
      </w:pPr>
      <w:r w:rsidRPr="00453EA1">
        <w:rPr>
          <w:rFonts w:cstheme="minorHAnsi"/>
          <w:sz w:val="28"/>
          <w:szCs w:val="28"/>
        </w:rPr>
        <w:t>(</w:t>
      </w:r>
      <w:proofErr w:type="gramStart"/>
      <w:r w:rsidRPr="00453EA1">
        <w:rPr>
          <w:rFonts w:cstheme="minorHAnsi"/>
          <w:sz w:val="28"/>
          <w:szCs w:val="28"/>
        </w:rPr>
        <w:t>e.g</w:t>
      </w:r>
      <w:proofErr w:type="gramEnd"/>
      <w:r w:rsidRPr="00453EA1">
        <w:rPr>
          <w:rFonts w:cstheme="minorHAnsi"/>
          <w:sz w:val="28"/>
          <w:szCs w:val="28"/>
        </w:rPr>
        <w:t xml:space="preserve">. BOL, </w:t>
      </w:r>
      <w:proofErr w:type="spellStart"/>
      <w:r w:rsidRPr="00453EA1">
        <w:rPr>
          <w:rFonts w:cstheme="minorHAnsi"/>
          <w:sz w:val="28"/>
          <w:szCs w:val="28"/>
        </w:rPr>
        <w:t>EduKan</w:t>
      </w:r>
      <w:proofErr w:type="spellEnd"/>
      <w:r w:rsidRPr="00453EA1">
        <w:rPr>
          <w:rFonts w:cstheme="minorHAnsi"/>
          <w:sz w:val="28"/>
          <w:szCs w:val="28"/>
        </w:rPr>
        <w:t>, LSC, F2F, etc.)</w:t>
      </w: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May have modules or parts of term within the term.</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Ineligible programs/ineligible students – not restricted.</w:t>
      </w:r>
      <w:r w:rsidR="00E23230">
        <w:rPr>
          <w:rFonts w:cstheme="minorHAnsi"/>
          <w:sz w:val="28"/>
          <w:szCs w:val="28"/>
        </w:rPr>
        <w:t xml:space="preserve">  These courses must be scheduled with a grade mode indicating the course is not eligible for federal aid.</w:t>
      </w:r>
    </w:p>
    <w:p w:rsidR="00453EA1" w:rsidRPr="00453EA1" w:rsidRDefault="00453EA1" w:rsidP="00453EA1">
      <w:pPr>
        <w:ind w:left="720"/>
        <w:rPr>
          <w:rFonts w:cstheme="minorHAnsi"/>
          <w:sz w:val="28"/>
          <w:szCs w:val="28"/>
        </w:rPr>
      </w:pPr>
      <w:r w:rsidRPr="00453EA1">
        <w:rPr>
          <w:rFonts w:cstheme="minorHAnsi"/>
          <w:sz w:val="28"/>
          <w:szCs w:val="28"/>
        </w:rPr>
        <w:t>(</w:t>
      </w:r>
      <w:proofErr w:type="gramStart"/>
      <w:r w:rsidRPr="00453EA1">
        <w:rPr>
          <w:rFonts w:cstheme="minorHAnsi"/>
          <w:sz w:val="28"/>
          <w:szCs w:val="28"/>
        </w:rPr>
        <w:t>e.g</w:t>
      </w:r>
      <w:proofErr w:type="gramEnd"/>
      <w:r w:rsidRPr="00453EA1">
        <w:rPr>
          <w:rFonts w:cstheme="minorHAnsi"/>
          <w:sz w:val="28"/>
          <w:szCs w:val="28"/>
        </w:rPr>
        <w:t>. Military cer</w:t>
      </w:r>
      <w:r w:rsidR="00E23230">
        <w:rPr>
          <w:rFonts w:cstheme="minorHAnsi"/>
          <w:sz w:val="28"/>
          <w:szCs w:val="28"/>
        </w:rPr>
        <w:t>tificates)</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 xml:space="preserve">May pay federal aid for standalone intersession.  </w:t>
      </w:r>
    </w:p>
    <w:p w:rsidR="00453EA1" w:rsidRPr="00453EA1" w:rsidRDefault="00453EA1" w:rsidP="00453EA1">
      <w:pPr>
        <w:pStyle w:val="ListParagraph"/>
        <w:rPr>
          <w:rFonts w:cstheme="minorHAnsi"/>
          <w:sz w:val="28"/>
          <w:szCs w:val="28"/>
        </w:rPr>
      </w:pPr>
      <w:r w:rsidRPr="00453EA1">
        <w:rPr>
          <w:rFonts w:cstheme="minorHAnsi"/>
          <w:sz w:val="28"/>
          <w:szCs w:val="28"/>
        </w:rPr>
        <w:t>(</w:t>
      </w:r>
      <w:proofErr w:type="gramStart"/>
      <w:r w:rsidRPr="00453EA1">
        <w:rPr>
          <w:rFonts w:cstheme="minorHAnsi"/>
          <w:sz w:val="28"/>
          <w:szCs w:val="28"/>
        </w:rPr>
        <w:t>i.e</w:t>
      </w:r>
      <w:proofErr w:type="gramEnd"/>
      <w:r w:rsidRPr="00453EA1">
        <w:rPr>
          <w:rFonts w:cstheme="minorHAnsi"/>
          <w:sz w:val="28"/>
          <w:szCs w:val="28"/>
        </w:rPr>
        <w:t>. Standalone Winter Intersession may attach to either fall  or spring)</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sz w:val="28"/>
          <w:szCs w:val="28"/>
        </w:rPr>
      </w:pPr>
      <w:r w:rsidRPr="00453EA1">
        <w:rPr>
          <w:rFonts w:cstheme="minorHAnsi"/>
          <w:sz w:val="28"/>
          <w:szCs w:val="28"/>
        </w:rPr>
        <w:t>May use Pell Formula 1 under these rules.</w:t>
      </w:r>
    </w:p>
    <w:p w:rsidR="00453EA1" w:rsidRPr="00453EA1" w:rsidRDefault="00453EA1" w:rsidP="00453EA1">
      <w:pPr>
        <w:pStyle w:val="ListParagraph"/>
        <w:rPr>
          <w:rFonts w:cstheme="minorHAnsi"/>
          <w:sz w:val="28"/>
          <w:szCs w:val="28"/>
        </w:rPr>
      </w:pPr>
    </w:p>
    <w:p w:rsidR="00453EA1" w:rsidRPr="00453EA1" w:rsidRDefault="00453EA1" w:rsidP="00453EA1">
      <w:pPr>
        <w:pStyle w:val="ListParagraph"/>
        <w:numPr>
          <w:ilvl w:val="0"/>
          <w:numId w:val="1"/>
        </w:numPr>
        <w:rPr>
          <w:rFonts w:cstheme="minorHAnsi"/>
          <w:b/>
          <w:color w:val="FF0000"/>
          <w:sz w:val="28"/>
          <w:szCs w:val="28"/>
          <w:u w:val="single"/>
        </w:rPr>
      </w:pPr>
      <w:r w:rsidRPr="00453EA1">
        <w:rPr>
          <w:rFonts w:cstheme="minorHAnsi"/>
          <w:b/>
          <w:color w:val="FF0000"/>
          <w:sz w:val="28"/>
          <w:szCs w:val="28"/>
          <w:u w:val="single"/>
        </w:rPr>
        <w:t>Basic rule – respect the integrity of the start/end dates!</w:t>
      </w:r>
    </w:p>
    <w:p w:rsidR="00453EA1" w:rsidRDefault="00453EA1" w:rsidP="00453EA1">
      <w:pPr>
        <w:pStyle w:val="ListParagraph"/>
        <w:rPr>
          <w:rFonts w:cstheme="minorHAnsi"/>
          <w:sz w:val="28"/>
          <w:szCs w:val="28"/>
        </w:rPr>
      </w:pPr>
    </w:p>
    <w:p w:rsidR="00453EA1" w:rsidRPr="00453EA1" w:rsidRDefault="00453EA1" w:rsidP="00453EA1">
      <w:pPr>
        <w:pStyle w:val="ListParagraph"/>
        <w:rPr>
          <w:rFonts w:cstheme="minorHAnsi"/>
          <w:sz w:val="28"/>
          <w:szCs w:val="28"/>
        </w:rPr>
      </w:pPr>
    </w:p>
    <w:p w:rsidR="00116F03" w:rsidRPr="00453EA1" w:rsidRDefault="00453EA1">
      <w:pPr>
        <w:rPr>
          <w:rFonts w:cstheme="minorHAnsi"/>
        </w:rPr>
      </w:pPr>
      <w:r>
        <w:rPr>
          <w:rFonts w:cstheme="minorHAnsi"/>
        </w:rPr>
        <w:t>*2018-19 Federal Student Aid Handbook, Volume 3, Chapter 1, p. 3-7</w:t>
      </w:r>
      <w:bookmarkStart w:id="0" w:name="_GoBack"/>
      <w:bookmarkEnd w:id="0"/>
    </w:p>
    <w:sectPr w:rsidR="00116F03" w:rsidRPr="00453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B70EE"/>
    <w:multiLevelType w:val="hybridMultilevel"/>
    <w:tmpl w:val="3C0AE03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3B06960"/>
    <w:multiLevelType w:val="hybridMultilevel"/>
    <w:tmpl w:val="11F2C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A1"/>
    <w:rsid w:val="00116F03"/>
    <w:rsid w:val="001E293A"/>
    <w:rsid w:val="00350137"/>
    <w:rsid w:val="00453EA1"/>
    <w:rsid w:val="005772D8"/>
    <w:rsid w:val="00876E45"/>
    <w:rsid w:val="00C359F0"/>
    <w:rsid w:val="00E23230"/>
    <w:rsid w:val="00E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4E2E"/>
  <w15:chartTrackingRefBased/>
  <w15:docId w15:val="{15BD3268-C0D3-4C66-9B04-A5317C7E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EA1"/>
    <w:pPr>
      <w:spacing w:line="256" w:lineRule="auto"/>
    </w:pPr>
  </w:style>
  <w:style w:type="paragraph" w:styleId="Heading1">
    <w:name w:val="heading 1"/>
    <w:basedOn w:val="Normal"/>
    <w:next w:val="Normal"/>
    <w:link w:val="Heading1Char"/>
    <w:uiPriority w:val="9"/>
    <w:qFormat/>
    <w:rsid w:val="00453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A1"/>
    <w:pPr>
      <w:ind w:left="720"/>
      <w:contextualSpacing/>
    </w:pPr>
  </w:style>
  <w:style w:type="character" w:customStyle="1" w:styleId="Heading1Char">
    <w:name w:val="Heading 1 Char"/>
    <w:basedOn w:val="DefaultParagraphFont"/>
    <w:link w:val="Heading1"/>
    <w:uiPriority w:val="9"/>
    <w:rsid w:val="00453E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453E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Myrna</dc:creator>
  <cp:keywords/>
  <dc:description/>
  <cp:lastModifiedBy>Asher, Whitney</cp:lastModifiedBy>
  <cp:revision>8</cp:revision>
  <dcterms:created xsi:type="dcterms:W3CDTF">2019-07-17T21:54:00Z</dcterms:created>
  <dcterms:modified xsi:type="dcterms:W3CDTF">2020-07-01T17:33:00Z</dcterms:modified>
</cp:coreProperties>
</file>