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BD4912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May 16, 2022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3E390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</w:t>
            </w:r>
            <w:r w:rsidR="00BD4912">
              <w:rPr>
                <w:rFonts w:ascii="Arial" w:hAnsi="Arial"/>
              </w:rPr>
              <w:t>3:30p.m.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1002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10027E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1002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1002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10027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C509C3" w:rsidRDefault="00721C6C" w:rsidP="0044648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C509C3" w:rsidRDefault="00D5038F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(spring 2022) – May 19</w:t>
            </w:r>
          </w:p>
          <w:p w:rsidR="00187DC5" w:rsidRPr="00C509C3" w:rsidRDefault="00187DC5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1956DC" w:rsidRPr="001956DC" w:rsidRDefault="008A4EC2" w:rsidP="001956DC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Goal Reports (2020-20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2021-2023)</w:t>
            </w:r>
          </w:p>
          <w:p w:rsidR="009D0D28" w:rsidRPr="00C509C3" w:rsidRDefault="00D01F37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9F2E4F" w:rsidRPr="001B3383" w:rsidRDefault="00A93C78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8A477E" w:rsidRPr="00C509C3">
              <w:rPr>
                <w:rFonts w:ascii="Arial" w:hAnsi="Arial" w:cs="Arial"/>
                <w:sz w:val="24"/>
                <w:szCs w:val="24"/>
              </w:rPr>
              <w:t>Y 22 Strategic Awards</w:t>
            </w:r>
            <w:r w:rsidR="004C5B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BD5" w:rsidRPr="001B3383">
              <w:rPr>
                <w:rFonts w:ascii="Arial" w:hAnsi="Arial" w:cs="Arial"/>
                <w:sz w:val="24"/>
                <w:szCs w:val="24"/>
              </w:rPr>
              <w:t xml:space="preserve">– June 25, 2022 is the last day to submit purchases </w:t>
            </w:r>
          </w:p>
          <w:p w:rsidR="00B244D4" w:rsidRPr="00B244D4" w:rsidRDefault="00B244D4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3D7133" w:rsidRDefault="00B244D4" w:rsidP="000C5441">
            <w:pPr>
              <w:pStyle w:val="ListParagraph"/>
              <w:numPr>
                <w:ilvl w:val="2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B244D4">
              <w:rPr>
                <w:rFonts w:ascii="Arial" w:hAnsi="Arial" w:cs="Arial"/>
                <w:sz w:val="24"/>
                <w:szCs w:val="24"/>
              </w:rPr>
              <w:t>Priority Strategic Requests</w:t>
            </w:r>
          </w:p>
          <w:p w:rsidR="001B3383" w:rsidRPr="00B244D4" w:rsidRDefault="001B3383" w:rsidP="000C5441">
            <w:pPr>
              <w:pStyle w:val="ListParagraph"/>
              <w:numPr>
                <w:ilvl w:val="2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Award</w:t>
            </w:r>
          </w:p>
          <w:p w:rsidR="00BC54FC" w:rsidRPr="00C509C3" w:rsidRDefault="00AF2EBF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C509C3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C509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>6</w:t>
            </w:r>
            <w:r w:rsidR="00072A84" w:rsidRPr="00C509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 xml:space="preserve"> Draft TBC</w:t>
            </w:r>
          </w:p>
          <w:p w:rsidR="00707716" w:rsidRPr="00C509C3" w:rsidRDefault="00707716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3967C3" w:rsidRPr="00C509C3" w:rsidRDefault="003967C3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Diversity, Equity &amp; Inclusion</w:t>
            </w:r>
          </w:p>
          <w:p w:rsidR="003967C3" w:rsidRPr="00C509C3" w:rsidRDefault="003967C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Global Issues &amp; Diversity Competencies</w:t>
            </w:r>
          </w:p>
          <w:p w:rsidR="003967C3" w:rsidRPr="00C509C3" w:rsidRDefault="003967C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Sampling of Evidence</w:t>
            </w:r>
          </w:p>
          <w:p w:rsidR="00072A84" w:rsidRDefault="00072A84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Website</w:t>
            </w:r>
          </w:p>
          <w:p w:rsidR="001F57A7" w:rsidRPr="001B3383" w:rsidRDefault="001F57A7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1B3383">
              <w:rPr>
                <w:rFonts w:ascii="Arial" w:hAnsi="Arial"/>
                <w:sz w:val="24"/>
                <w:szCs w:val="24"/>
              </w:rPr>
              <w:t xml:space="preserve">Professional </w:t>
            </w:r>
            <w:r w:rsidR="00BD4912">
              <w:rPr>
                <w:rFonts w:ascii="Arial" w:hAnsi="Arial"/>
                <w:sz w:val="24"/>
                <w:szCs w:val="24"/>
              </w:rPr>
              <w:t>D</w:t>
            </w:r>
            <w:r w:rsidRPr="001B3383">
              <w:rPr>
                <w:rFonts w:ascii="Arial" w:hAnsi="Arial"/>
                <w:sz w:val="24"/>
                <w:szCs w:val="24"/>
              </w:rPr>
              <w:t xml:space="preserve">evelopment for </w:t>
            </w:r>
            <w:r w:rsidR="00BD4912">
              <w:rPr>
                <w:rFonts w:ascii="Arial" w:hAnsi="Arial"/>
                <w:sz w:val="24"/>
                <w:szCs w:val="24"/>
              </w:rPr>
              <w:t>F</w:t>
            </w:r>
            <w:r w:rsidRPr="001B3383">
              <w:rPr>
                <w:rFonts w:ascii="Arial" w:hAnsi="Arial"/>
                <w:sz w:val="24"/>
                <w:szCs w:val="24"/>
              </w:rPr>
              <w:t>aculty</w:t>
            </w:r>
          </w:p>
          <w:p w:rsidR="00C22522" w:rsidRDefault="00B87E38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1509AD" w:rsidRDefault="001509AD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Rubric – upcoming pilot</w:t>
            </w:r>
          </w:p>
          <w:p w:rsidR="00DD41DC" w:rsidRDefault="00DD41DC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Change Request (5-12) for Instructor and Coordinator/Department Chair position description</w:t>
            </w:r>
            <w:r w:rsidR="00BD4912">
              <w:rPr>
                <w:rFonts w:ascii="Arial" w:hAnsi="Arial"/>
                <w:sz w:val="24"/>
                <w:szCs w:val="24"/>
              </w:rPr>
              <w:t xml:space="preserve"> – done.</w:t>
            </w:r>
          </w:p>
          <w:p w:rsidR="008E7CB5" w:rsidRPr="00A50AA7" w:rsidRDefault="008E7CB5" w:rsidP="008E7CB5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</w:rPr>
            </w:pPr>
            <w:r w:rsidRPr="001509AD">
              <w:rPr>
                <w:rFonts w:ascii="Arial" w:hAnsi="Arial"/>
                <w:color w:val="000000"/>
              </w:rPr>
              <w:t xml:space="preserve">Claudia - SoftChalk - Renewal is up July 1st. We currently only have </w:t>
            </w:r>
            <w:r>
              <w:rPr>
                <w:rFonts w:ascii="Arial" w:hAnsi="Arial"/>
                <w:color w:val="000000"/>
              </w:rPr>
              <w:t>seven</w:t>
            </w:r>
            <w:r w:rsidRPr="001509AD">
              <w:rPr>
                <w:rFonts w:ascii="Arial" w:hAnsi="Arial"/>
                <w:color w:val="000000"/>
              </w:rPr>
              <w:t xml:space="preserve"> instructors using it. We are paying $6500.00.</w:t>
            </w:r>
          </w:p>
          <w:p w:rsidR="008E7CB5" w:rsidRPr="008E7CB5" w:rsidRDefault="008E7CB5" w:rsidP="008E7CB5">
            <w:pPr>
              <w:numPr>
                <w:ilvl w:val="1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</w:rPr>
            </w:pPr>
            <w:r w:rsidRPr="008E7CB5">
              <w:rPr>
                <w:rFonts w:ascii="Arial" w:hAnsi="Arial"/>
              </w:rPr>
              <w:t>Keep SoftChalk for another year so faculty have a chance to move away from it and redesign courses</w:t>
            </w:r>
          </w:p>
          <w:p w:rsidR="00E86D2C" w:rsidRPr="007428CD" w:rsidRDefault="008E7CB5" w:rsidP="007428CD">
            <w:pPr>
              <w:numPr>
                <w:ilvl w:val="1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</w:rPr>
            </w:pPr>
            <w:r w:rsidRPr="008E7CB5">
              <w:rPr>
                <w:rFonts w:ascii="Arial" w:hAnsi="Arial"/>
              </w:rPr>
              <w:t>Claudia will check to see if we can get individual licenses for SoftChal</w:t>
            </w:r>
            <w:r>
              <w:rPr>
                <w:rFonts w:ascii="Arial" w:hAnsi="Arial"/>
              </w:rPr>
              <w:t>k</w:t>
            </w:r>
            <w:r w:rsidR="007428CD">
              <w:rPr>
                <w:rFonts w:ascii="Arial" w:hAnsi="Arial"/>
              </w:rPr>
              <w:t xml:space="preserve"> </w:t>
            </w:r>
            <w:r w:rsidR="007428CD" w:rsidRPr="000754D2">
              <w:rPr>
                <w:rFonts w:ascii="Arial" w:hAnsi="Arial"/>
                <w:color w:val="FF0000"/>
                <w:sz w:val="22"/>
                <w:szCs w:val="22"/>
              </w:rPr>
              <w:t>(wi</w:t>
            </w:r>
            <w:r w:rsidR="00EA3450" w:rsidRPr="000754D2">
              <w:rPr>
                <w:rFonts w:ascii="Arial" w:hAnsi="Arial"/>
                <w:color w:val="FF0000"/>
                <w:sz w:val="22"/>
                <w:szCs w:val="22"/>
              </w:rPr>
              <w:t>ll continue</w:t>
            </w:r>
            <w:r w:rsidR="007428CD" w:rsidRPr="000754D2">
              <w:rPr>
                <w:rFonts w:ascii="Arial" w:hAnsi="Arial"/>
                <w:color w:val="FF0000"/>
                <w:sz w:val="22"/>
                <w:szCs w:val="22"/>
              </w:rPr>
              <w:t xml:space="preserve"> SoftChalk for at least one year)</w:t>
            </w:r>
            <w:r w:rsidR="00E86D2C" w:rsidRPr="007428CD">
              <w:rPr>
                <w:rFonts w:ascii="Arial" w:hAnsi="Arial"/>
                <w:color w:val="FF0000"/>
              </w:rPr>
              <w:t xml:space="preserve"> </w:t>
            </w:r>
          </w:p>
          <w:p w:rsidR="002D6F0A" w:rsidRPr="00C509C3" w:rsidRDefault="002D6F0A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Graduations</w:t>
            </w:r>
          </w:p>
          <w:p w:rsidR="002D6F0A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13 – Barton County Campus</w:t>
            </w:r>
          </w:p>
          <w:p w:rsidR="00FA54D6" w:rsidRPr="008A51B7" w:rsidRDefault="00FA54D6" w:rsidP="001956DC">
            <w:pPr>
              <w:pStyle w:val="ListParagraph"/>
              <w:numPr>
                <w:ilvl w:val="1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MLT Pinning</w:t>
            </w:r>
          </w:p>
          <w:p w:rsidR="00FA54D6" w:rsidRPr="008A51B7" w:rsidRDefault="00FA54D6" w:rsidP="001956DC">
            <w:pPr>
              <w:pStyle w:val="ListParagraph"/>
              <w:numPr>
                <w:ilvl w:val="1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Nurse Pinning</w:t>
            </w:r>
          </w:p>
          <w:p w:rsidR="00FA54D6" w:rsidRPr="008A51B7" w:rsidRDefault="00FA54D6" w:rsidP="001956DC">
            <w:pPr>
              <w:pStyle w:val="ListParagraph"/>
              <w:numPr>
                <w:ilvl w:val="1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EMS Cording</w:t>
            </w:r>
          </w:p>
          <w:p w:rsidR="008A51B7" w:rsidRPr="00C509C3" w:rsidRDefault="008A51B7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19 – FR</w:t>
            </w:r>
          </w:p>
          <w:p w:rsidR="002D6F0A" w:rsidRPr="00C509C3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lastRenderedPageBreak/>
              <w:t>May 25 – ECF</w:t>
            </w:r>
          </w:p>
          <w:p w:rsidR="002D6F0A" w:rsidRPr="00C509C3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26 – Fort Leavenworth</w:t>
            </w:r>
          </w:p>
          <w:p w:rsidR="00CE3685" w:rsidRDefault="00CE3685" w:rsidP="00B87E38">
            <w:pPr>
              <w:rPr>
                <w:rFonts w:ascii="Arial" w:hAnsi="Arial"/>
                <w:b/>
              </w:rPr>
            </w:pPr>
          </w:p>
          <w:p w:rsidR="005A5B94" w:rsidRPr="00C509C3" w:rsidRDefault="005A5B94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Proce</w:t>
            </w:r>
            <w:r w:rsidR="00521291" w:rsidRPr="00C509C3">
              <w:rPr>
                <w:rFonts w:ascii="Arial" w:hAnsi="Arial"/>
                <w:sz w:val="24"/>
                <w:szCs w:val="24"/>
              </w:rPr>
              <w:t xml:space="preserve">dure #2530 – Course Attendance </w:t>
            </w:r>
            <w:r w:rsidR="004E500E">
              <w:rPr>
                <w:rFonts w:ascii="Arial" w:hAnsi="Arial"/>
                <w:sz w:val="24"/>
                <w:szCs w:val="24"/>
              </w:rPr>
              <w:t xml:space="preserve">– </w:t>
            </w:r>
            <w:r w:rsidR="00E94437">
              <w:rPr>
                <w:rFonts w:ascii="Arial" w:hAnsi="Arial"/>
                <w:sz w:val="24"/>
                <w:szCs w:val="24"/>
              </w:rPr>
              <w:t>President’s Staff 1</w:t>
            </w:r>
            <w:r w:rsidR="00E94437" w:rsidRPr="00E94437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="00E94437">
              <w:rPr>
                <w:rFonts w:ascii="Arial" w:hAnsi="Arial"/>
                <w:sz w:val="24"/>
                <w:szCs w:val="24"/>
              </w:rPr>
              <w:t xml:space="preserve"> Reading</w:t>
            </w:r>
          </w:p>
          <w:p w:rsidR="005A5B94" w:rsidRPr="00C509C3" w:rsidRDefault="005A5B9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4E500E">
              <w:rPr>
                <w:rFonts w:ascii="Arial" w:hAnsi="Arial"/>
                <w:sz w:val="24"/>
                <w:szCs w:val="24"/>
              </w:rPr>
              <w:t>(Claudia/Lee)</w:t>
            </w:r>
          </w:p>
          <w:p w:rsidR="006F766D" w:rsidRPr="00BF267E" w:rsidRDefault="00F64FC0" w:rsidP="00F03019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BF267E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9A4FF4" w:rsidRPr="00BF267E">
              <w:rPr>
                <w:rFonts w:ascii="Arial" w:hAnsi="Arial" w:cs="Arial"/>
                <w:sz w:val="24"/>
                <w:szCs w:val="24"/>
              </w:rPr>
              <w:t>#</w:t>
            </w:r>
            <w:r w:rsidRPr="00BF267E">
              <w:rPr>
                <w:rFonts w:ascii="Arial" w:hAnsi="Arial" w:cs="Arial"/>
                <w:sz w:val="24"/>
                <w:szCs w:val="24"/>
              </w:rPr>
              <w:t>2465</w:t>
            </w:r>
            <w:r w:rsidRPr="00BF267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F267E">
              <w:rPr>
                <w:rFonts w:ascii="Arial" w:hAnsi="Arial" w:cs="Arial"/>
                <w:sz w:val="24"/>
                <w:szCs w:val="24"/>
              </w:rPr>
              <w:t>–</w:t>
            </w:r>
            <w:r w:rsidRPr="00BF267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F267E">
              <w:rPr>
                <w:rFonts w:ascii="Arial" w:hAnsi="Arial" w:cs="Arial"/>
                <w:sz w:val="24"/>
                <w:szCs w:val="24"/>
              </w:rPr>
              <w:t>Faculty</w:t>
            </w:r>
            <w:r w:rsidRPr="00BF267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F267E">
              <w:rPr>
                <w:rFonts w:ascii="Arial" w:hAnsi="Arial" w:cs="Arial"/>
                <w:sz w:val="24"/>
                <w:szCs w:val="24"/>
              </w:rPr>
              <w:t>Employment</w:t>
            </w:r>
            <w:r w:rsidRPr="00BF267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F267E">
              <w:rPr>
                <w:rFonts w:ascii="Arial" w:hAnsi="Arial" w:cs="Arial"/>
                <w:sz w:val="24"/>
                <w:szCs w:val="24"/>
              </w:rPr>
              <w:t>Qualifications</w:t>
            </w:r>
            <w:r w:rsidR="00A25ED0" w:rsidRPr="00BF267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C21D8" w:rsidRPr="00BF267E">
              <w:rPr>
                <w:rFonts w:ascii="Arial" w:hAnsi="Arial" w:cs="Arial"/>
                <w:sz w:val="24"/>
                <w:szCs w:val="24"/>
              </w:rPr>
              <w:t>FC reviewed; sent to HR</w:t>
            </w:r>
          </w:p>
          <w:p w:rsidR="008E03DE" w:rsidRPr="003D088F" w:rsidRDefault="009A4FF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</w:rPr>
            </w:pPr>
            <w:r w:rsidRPr="003D088F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  <w:r w:rsidR="00DC21D8" w:rsidRPr="003D088F">
              <w:rPr>
                <w:rFonts w:ascii="Arial" w:hAnsi="Arial" w:cs="Arial"/>
                <w:sz w:val="24"/>
                <w:szCs w:val="24"/>
              </w:rPr>
              <w:t xml:space="preserve"> (on hold)</w:t>
            </w:r>
          </w:p>
          <w:p w:rsidR="00DC21D8" w:rsidRPr="003D088F" w:rsidRDefault="00DC21D8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</w:rPr>
            </w:pPr>
            <w:r w:rsidRPr="003D088F">
              <w:rPr>
                <w:rFonts w:ascii="Arial" w:hAnsi="Arial"/>
              </w:rPr>
              <w:t>Old Procedure #2512 – Grade Appeal</w:t>
            </w:r>
            <w:r w:rsidR="00EA3450">
              <w:rPr>
                <w:rFonts w:ascii="Arial" w:hAnsi="Arial"/>
              </w:rPr>
              <w:t xml:space="preserve"> </w:t>
            </w:r>
            <w:r w:rsidR="00EA3450" w:rsidRPr="00EA3450">
              <w:rPr>
                <w:rFonts w:ascii="Arial" w:hAnsi="Arial"/>
                <w:color w:val="FF0000"/>
              </w:rPr>
              <w:t>(this procedure will not be brought back)</w:t>
            </w:r>
          </w:p>
          <w:p w:rsidR="008E7CB5" w:rsidRDefault="000C5441" w:rsidP="005D2C8A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587C67">
              <w:rPr>
                <w:rFonts w:ascii="Arial" w:hAnsi="Arial"/>
                <w:sz w:val="24"/>
                <w:szCs w:val="24"/>
              </w:rPr>
              <w:t>Procedure #2520 – Academic Freedom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– 1</w:t>
            </w:r>
            <w:r w:rsidR="00BD4912" w:rsidRPr="00587C67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="00BD4912" w:rsidRPr="00587C67">
              <w:rPr>
                <w:rFonts w:ascii="Arial" w:hAnsi="Arial"/>
                <w:sz w:val="24"/>
                <w:szCs w:val="24"/>
              </w:rPr>
              <w:t xml:space="preserve"> Draft</w:t>
            </w:r>
          </w:p>
          <w:p w:rsidR="00EA3450" w:rsidRDefault="00EA3450" w:rsidP="005D2C8A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#2466 – Adjunct Faculty/Overload Compensation</w:t>
            </w:r>
          </w:p>
          <w:p w:rsidR="001547A0" w:rsidRPr="000754D2" w:rsidRDefault="001547A0" w:rsidP="004B5E1B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>The document does not mention “at will employee”</w:t>
            </w:r>
          </w:p>
          <w:p w:rsidR="004B5E1B" w:rsidRPr="000754D2" w:rsidRDefault="004B5E1B" w:rsidP="004B5E1B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>Remove</w:t>
            </w:r>
            <w:r w:rsidR="00EA3450" w:rsidRPr="000754D2">
              <w:rPr>
                <w:rFonts w:ascii="Arial" w:hAnsi="Arial"/>
                <w:color w:val="FF0000"/>
              </w:rPr>
              <w:t xml:space="preserve"> the pay amounts</w:t>
            </w:r>
            <w:r w:rsidRPr="000754D2">
              <w:rPr>
                <w:rFonts w:ascii="Arial" w:hAnsi="Arial"/>
                <w:color w:val="FF0000"/>
              </w:rPr>
              <w:t xml:space="preserve"> from the procedure, talk to HR for a supporting document</w:t>
            </w:r>
          </w:p>
          <w:p w:rsidR="004B5E1B" w:rsidRPr="000754D2" w:rsidRDefault="009E3A4B" w:rsidP="004B5E1B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>“</w:t>
            </w:r>
            <w:r w:rsidR="004B5E1B" w:rsidRPr="000754D2">
              <w:rPr>
                <w:rFonts w:ascii="Arial" w:hAnsi="Arial"/>
                <w:color w:val="FF0000"/>
              </w:rPr>
              <w:t>Adjunct Serving as a Substitute</w:t>
            </w:r>
            <w:r w:rsidRPr="000754D2">
              <w:rPr>
                <w:rFonts w:ascii="Arial" w:hAnsi="Arial"/>
                <w:color w:val="FF0000"/>
              </w:rPr>
              <w:t>”</w:t>
            </w:r>
            <w:r w:rsidR="004B5E1B" w:rsidRPr="000754D2">
              <w:rPr>
                <w:rFonts w:ascii="Arial" w:hAnsi="Arial"/>
                <w:color w:val="FF0000"/>
              </w:rPr>
              <w:t xml:space="preserve"> paragraph (??</w:t>
            </w:r>
            <w:r w:rsidR="001547A0" w:rsidRPr="000754D2">
              <w:rPr>
                <w:rFonts w:ascii="Arial" w:hAnsi="Arial"/>
                <w:color w:val="FF0000"/>
              </w:rPr>
              <w:t xml:space="preserve"> keeping</w:t>
            </w:r>
            <w:r w:rsidR="004B5E1B" w:rsidRPr="000754D2">
              <w:rPr>
                <w:rFonts w:ascii="Arial" w:hAnsi="Arial"/>
                <w:color w:val="FF0000"/>
              </w:rPr>
              <w:t>)</w:t>
            </w:r>
          </w:p>
          <w:p w:rsidR="004B5E1B" w:rsidRPr="000754D2" w:rsidRDefault="009E3A4B" w:rsidP="004B5E1B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>“</w:t>
            </w:r>
            <w:r w:rsidR="004B5E1B" w:rsidRPr="000754D2">
              <w:rPr>
                <w:rFonts w:ascii="Arial" w:hAnsi="Arial"/>
                <w:color w:val="FF0000"/>
              </w:rPr>
              <w:t>Applied Music Classes</w:t>
            </w:r>
            <w:r w:rsidRPr="000754D2">
              <w:rPr>
                <w:rFonts w:ascii="Arial" w:hAnsi="Arial"/>
                <w:color w:val="FF0000"/>
              </w:rPr>
              <w:t>”</w:t>
            </w:r>
            <w:r w:rsidR="004B5E1B" w:rsidRPr="000754D2">
              <w:rPr>
                <w:rFonts w:ascii="Arial" w:hAnsi="Arial"/>
                <w:color w:val="FF0000"/>
              </w:rPr>
              <w:t xml:space="preserve"> paragraph (??</w:t>
            </w:r>
            <w:r w:rsidR="001547A0" w:rsidRPr="000754D2">
              <w:rPr>
                <w:rFonts w:ascii="Arial" w:hAnsi="Arial"/>
                <w:color w:val="FF0000"/>
              </w:rPr>
              <w:t xml:space="preserve"> keeping</w:t>
            </w:r>
            <w:r w:rsidR="004B5E1B" w:rsidRPr="000754D2">
              <w:rPr>
                <w:rFonts w:ascii="Arial" w:hAnsi="Arial"/>
                <w:color w:val="FF0000"/>
              </w:rPr>
              <w:t>)</w:t>
            </w:r>
            <w:r w:rsidR="00693BBD" w:rsidRPr="000754D2">
              <w:rPr>
                <w:rFonts w:ascii="Arial" w:hAnsi="Arial"/>
                <w:color w:val="FF0000"/>
              </w:rPr>
              <w:t xml:space="preserve"> </w:t>
            </w:r>
            <w:r w:rsidR="000759B2" w:rsidRPr="000754D2">
              <w:rPr>
                <w:rFonts w:ascii="Arial" w:hAnsi="Arial"/>
                <w:color w:val="FF0000"/>
              </w:rPr>
              <w:t xml:space="preserve"> </w:t>
            </w:r>
            <w:bookmarkStart w:id="0" w:name="_GoBack"/>
            <w:bookmarkEnd w:id="0"/>
          </w:p>
          <w:p w:rsidR="008E03DE" w:rsidRDefault="008E03DE" w:rsidP="00B87E38">
            <w:pPr>
              <w:rPr>
                <w:rFonts w:ascii="Arial" w:hAnsi="Arial"/>
                <w:b/>
              </w:rPr>
            </w:pPr>
          </w:p>
          <w:p w:rsidR="00A20BA7" w:rsidRPr="00C509C3" w:rsidRDefault="00A20BA7" w:rsidP="00B87E38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261D39" w:rsidRDefault="00261D39" w:rsidP="00261D39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261D39">
              <w:rPr>
                <w:rFonts w:ascii="Arial" w:hAnsi="Arial"/>
                <w:sz w:val="24"/>
                <w:szCs w:val="24"/>
              </w:rPr>
              <w:t>FR/FL/GVP/GB College Program Classes – Collaboration Across Campus Locations</w:t>
            </w:r>
          </w:p>
          <w:p w:rsidR="0058101B" w:rsidRPr="000754D2" w:rsidRDefault="0058101B" w:rsidP="00261D39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>Kurt will talk to Darren Ivey about books for FR/FL/GVP</w:t>
            </w:r>
            <w:r w:rsidR="0013628F" w:rsidRPr="000754D2">
              <w:rPr>
                <w:rFonts w:ascii="Arial" w:hAnsi="Arial"/>
                <w:color w:val="FF0000"/>
              </w:rPr>
              <w:t xml:space="preserve"> classes that Great Bend Campus students can use</w:t>
            </w:r>
          </w:p>
          <w:p w:rsidR="00261D39" w:rsidRDefault="00261D39" w:rsidP="00261D39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sz w:val="24"/>
                <w:szCs w:val="24"/>
              </w:rPr>
            </w:pPr>
            <w:r w:rsidRPr="00261D39">
              <w:rPr>
                <w:rFonts w:ascii="Arial" w:hAnsi="Arial"/>
                <w:sz w:val="24"/>
                <w:szCs w:val="24"/>
              </w:rPr>
              <w:t>Academic Integrity – Reference to Academic Integrity Tools in Course Syllabus</w:t>
            </w:r>
          </w:p>
          <w:p w:rsidR="0013628F" w:rsidRPr="00361657" w:rsidRDefault="00130154" w:rsidP="00361657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 xml:space="preserve">Look at </w:t>
            </w:r>
            <w:r w:rsidR="00361657">
              <w:rPr>
                <w:rFonts w:ascii="Arial" w:hAnsi="Arial"/>
                <w:color w:val="FF0000"/>
              </w:rPr>
              <w:t xml:space="preserve">the </w:t>
            </w:r>
            <w:r w:rsidRPr="000754D2">
              <w:rPr>
                <w:rFonts w:ascii="Arial" w:hAnsi="Arial"/>
                <w:color w:val="FF0000"/>
              </w:rPr>
              <w:t xml:space="preserve">global </w:t>
            </w:r>
            <w:r w:rsidR="0013628F" w:rsidRPr="000754D2">
              <w:rPr>
                <w:rFonts w:ascii="Arial" w:hAnsi="Arial"/>
                <w:color w:val="FF0000"/>
              </w:rPr>
              <w:t xml:space="preserve">Academic Integrity </w:t>
            </w:r>
            <w:r w:rsidRPr="000754D2">
              <w:rPr>
                <w:rFonts w:ascii="Arial" w:hAnsi="Arial"/>
                <w:color w:val="FF0000"/>
              </w:rPr>
              <w:t xml:space="preserve">statement in </w:t>
            </w:r>
            <w:r w:rsidR="00361657">
              <w:rPr>
                <w:rFonts w:ascii="Arial" w:hAnsi="Arial"/>
                <w:color w:val="FF0000"/>
              </w:rPr>
              <w:t xml:space="preserve">the </w:t>
            </w:r>
            <w:r w:rsidRPr="000754D2">
              <w:rPr>
                <w:rFonts w:ascii="Arial" w:hAnsi="Arial"/>
                <w:color w:val="FF0000"/>
              </w:rPr>
              <w:t>syl</w:t>
            </w:r>
            <w:r w:rsidR="00361657">
              <w:rPr>
                <w:rFonts w:ascii="Arial" w:hAnsi="Arial"/>
                <w:color w:val="FF0000"/>
              </w:rPr>
              <w:t>labus, have the Academic Integrity Council determine what language should be added to the syllabus regarding AI Tools</w:t>
            </w:r>
          </w:p>
          <w:p w:rsidR="00B8797E" w:rsidRDefault="00B8797E" w:rsidP="00B8797E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 xml:space="preserve">Student Maximum Course Enrollment Guidelines – </w:t>
            </w:r>
            <w:r w:rsidR="00FC2408">
              <w:rPr>
                <w:rFonts w:ascii="Arial" w:hAnsi="Arial"/>
                <w:sz w:val="24"/>
                <w:szCs w:val="24"/>
              </w:rPr>
              <w:t>FC Feedback</w:t>
            </w:r>
          </w:p>
          <w:p w:rsidR="00B1057E" w:rsidRPr="000754D2" w:rsidRDefault="00B1057E" w:rsidP="00B8797E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</w:rPr>
            </w:pPr>
            <w:r w:rsidRPr="000754D2">
              <w:rPr>
                <w:rFonts w:ascii="Arial" w:hAnsi="Arial"/>
                <w:color w:val="FF0000"/>
              </w:rPr>
              <w:t xml:space="preserve">Next Steps: Work with Lori and Angie, will it be on the website, where </w:t>
            </w:r>
            <w:r w:rsidR="005B57A9" w:rsidRPr="000754D2">
              <w:rPr>
                <w:rFonts w:ascii="Arial" w:hAnsi="Arial"/>
                <w:color w:val="FF0000"/>
              </w:rPr>
              <w:t xml:space="preserve">at </w:t>
            </w:r>
            <w:r w:rsidRPr="000754D2">
              <w:rPr>
                <w:rFonts w:ascii="Arial" w:hAnsi="Arial"/>
                <w:color w:val="FF0000"/>
              </w:rPr>
              <w:t>on the website</w:t>
            </w:r>
            <w:r w:rsidR="005B57A9" w:rsidRPr="000754D2">
              <w:rPr>
                <w:rFonts w:ascii="Arial" w:hAnsi="Arial"/>
                <w:color w:val="FF0000"/>
              </w:rPr>
              <w:t>, what is the implementation timeline</w:t>
            </w:r>
            <w:r w:rsidR="001702CB">
              <w:rPr>
                <w:rFonts w:ascii="Arial" w:hAnsi="Arial"/>
                <w:color w:val="FF0000"/>
              </w:rPr>
              <w:t>, is there an automated system</w:t>
            </w:r>
            <w:r w:rsidR="005B57A9" w:rsidRPr="000754D2">
              <w:rPr>
                <w:rFonts w:ascii="Arial" w:hAnsi="Arial"/>
                <w:color w:val="FF0000"/>
              </w:rPr>
              <w:t>? Get with Zac in IT</w:t>
            </w:r>
            <w:r w:rsidRPr="000754D2">
              <w:rPr>
                <w:rFonts w:ascii="Arial" w:hAnsi="Arial"/>
                <w:color w:val="FF0000"/>
              </w:rPr>
              <w:t xml:space="preserve"> for a form</w:t>
            </w:r>
          </w:p>
          <w:p w:rsidR="008E03DE" w:rsidRPr="000C5441" w:rsidRDefault="008E03DE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0C5441">
              <w:rPr>
                <w:rFonts w:ascii="Arial" w:hAnsi="Arial" w:cs="Arial"/>
                <w:sz w:val="24"/>
                <w:szCs w:val="24"/>
              </w:rPr>
              <w:t>Assessment Institute 2022-2023</w:t>
            </w:r>
          </w:p>
          <w:p w:rsidR="008E03DE" w:rsidRPr="008E03DE" w:rsidRDefault="008E03D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03DE">
              <w:rPr>
                <w:rFonts w:ascii="Arial" w:hAnsi="Arial" w:cs="Arial"/>
                <w:sz w:val="24"/>
                <w:szCs w:val="24"/>
              </w:rPr>
              <w:t>Jason Lindstrom, Justin Brown, Paulia Bailey and Eric Foley.</w:t>
            </w:r>
          </w:p>
          <w:p w:rsidR="008E03DE" w:rsidRPr="009A4FF4" w:rsidRDefault="008E03D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 xml:space="preserve">Jeff Meyer, Latoya Hill, </w:t>
            </w:r>
            <w:r w:rsidR="00E93331">
              <w:rPr>
                <w:rFonts w:ascii="Arial" w:hAnsi="Arial" w:cs="Arial"/>
                <w:sz w:val="24"/>
                <w:szCs w:val="24"/>
              </w:rPr>
              <w:t xml:space="preserve">Mary Foley </w:t>
            </w:r>
            <w:r w:rsidRPr="009A4FF4">
              <w:rPr>
                <w:rFonts w:ascii="Arial" w:hAnsi="Arial" w:cs="Arial"/>
                <w:sz w:val="24"/>
                <w:szCs w:val="24"/>
              </w:rPr>
              <w:t>and Karen Gunther</w:t>
            </w:r>
          </w:p>
          <w:p w:rsidR="00E54B32" w:rsidRPr="008E7CB5" w:rsidRDefault="008E03DE" w:rsidP="008E7CB5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>Lindsay Holmes, Jeremy Deckard, Aimee Hanson and Juan Pepi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 xml:space="preserve">PN &amp; </w:t>
            </w:r>
            <w:r>
              <w:rPr>
                <w:rFonts w:ascii="Arial" w:eastAsiaTheme="minorHAnsi" w:hAnsi="Arial"/>
              </w:rPr>
              <w:t>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1" w:name="_Hlk103261658"/>
            <w:r w:rsidRPr="008E7CB5">
              <w:rPr>
                <w:rFonts w:ascii="Arial" w:hAnsi="Arial" w:cs="Arial"/>
                <w:sz w:val="24"/>
                <w:szCs w:val="24"/>
                <w:highlight w:val="green"/>
              </w:rPr>
              <w:t>1476/2466 Adjunct Faculty Compensation</w:t>
            </w:r>
          </w:p>
          <w:bookmarkEnd w:id="1"/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2" w:name="_Hlk101815523"/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1520/2520 Academic Freedom</w:t>
            </w:r>
          </w:p>
          <w:bookmarkEnd w:id="2"/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D491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D4912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E7CB5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7CB5"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green"/>
              </w:rPr>
              <w:t>1451/2465 Faculty Employment Qualifications</w:t>
            </w:r>
          </w:p>
          <w:p w:rsidR="007E6870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587C67" w:rsidRDefault="00F1776A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587C67" w:rsidRPr="008E7CB5" w:rsidRDefault="00587C67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8F2057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May 18 </w:t>
      </w:r>
      <w:r w:rsidR="008E7CB5">
        <w:rPr>
          <w:rFonts w:ascii="Arial" w:hAnsi="Arial"/>
          <w:b/>
          <w:bCs/>
        </w:rPr>
        <w:t xml:space="preserve">&amp; June 1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8E7CB5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June 7 &amp; June 22</w:t>
      </w:r>
      <w:r w:rsidR="00A54508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– Dean’s Council</w:t>
      </w:r>
      <w:r>
        <w:rPr>
          <w:rFonts w:ascii="Arial" w:hAnsi="Arial"/>
          <w:b/>
          <w:bCs/>
        </w:rPr>
        <w:t xml:space="preserve"> &amp; Dean’s Council Retreat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9F" w:rsidRDefault="002D769F" w:rsidP="00F24EDF">
      <w:r>
        <w:separator/>
      </w:r>
    </w:p>
  </w:endnote>
  <w:endnote w:type="continuationSeparator" w:id="0">
    <w:p w:rsidR="002D769F" w:rsidRDefault="002D769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9F" w:rsidRDefault="002D769F" w:rsidP="00F24EDF">
      <w:r>
        <w:separator/>
      </w:r>
    </w:p>
  </w:footnote>
  <w:footnote w:type="continuationSeparator" w:id="0">
    <w:p w:rsidR="002D769F" w:rsidRDefault="002D769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C9F"/>
    <w:multiLevelType w:val="multilevel"/>
    <w:tmpl w:val="71B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0289A"/>
    <w:multiLevelType w:val="hybridMultilevel"/>
    <w:tmpl w:val="E30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5FA9"/>
    <w:multiLevelType w:val="hybridMultilevel"/>
    <w:tmpl w:val="1CF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0845"/>
    <w:multiLevelType w:val="hybridMultilevel"/>
    <w:tmpl w:val="E31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C7BCC"/>
    <w:multiLevelType w:val="hybridMultilevel"/>
    <w:tmpl w:val="2CB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F4231"/>
    <w:multiLevelType w:val="hybridMultilevel"/>
    <w:tmpl w:val="5D0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73FBC"/>
    <w:multiLevelType w:val="hybridMultilevel"/>
    <w:tmpl w:val="947E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4662F"/>
    <w:multiLevelType w:val="hybridMultilevel"/>
    <w:tmpl w:val="CF8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82459"/>
    <w:multiLevelType w:val="hybridMultilevel"/>
    <w:tmpl w:val="AC5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26448"/>
    <w:multiLevelType w:val="hybridMultilevel"/>
    <w:tmpl w:val="CD74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484E80"/>
    <w:multiLevelType w:val="hybridMultilevel"/>
    <w:tmpl w:val="B986D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4716C"/>
    <w:multiLevelType w:val="hybridMultilevel"/>
    <w:tmpl w:val="5434E034"/>
    <w:lvl w:ilvl="0" w:tplc="16C606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28"/>
  </w:num>
  <w:num w:numId="4">
    <w:abstractNumId w:val="10"/>
  </w:num>
  <w:num w:numId="5">
    <w:abstractNumId w:val="23"/>
  </w:num>
  <w:num w:numId="6">
    <w:abstractNumId w:val="34"/>
  </w:num>
  <w:num w:numId="7">
    <w:abstractNumId w:val="13"/>
  </w:num>
  <w:num w:numId="8">
    <w:abstractNumId w:val="43"/>
  </w:num>
  <w:num w:numId="9">
    <w:abstractNumId w:val="7"/>
  </w:num>
  <w:num w:numId="10">
    <w:abstractNumId w:val="35"/>
  </w:num>
  <w:num w:numId="11">
    <w:abstractNumId w:val="30"/>
  </w:num>
  <w:num w:numId="12">
    <w:abstractNumId w:val="41"/>
  </w:num>
  <w:num w:numId="13">
    <w:abstractNumId w:val="20"/>
  </w:num>
  <w:num w:numId="14">
    <w:abstractNumId w:val="12"/>
  </w:num>
  <w:num w:numId="15">
    <w:abstractNumId w:val="40"/>
  </w:num>
  <w:num w:numId="16">
    <w:abstractNumId w:val="46"/>
  </w:num>
  <w:num w:numId="17">
    <w:abstractNumId w:val="17"/>
  </w:num>
  <w:num w:numId="18">
    <w:abstractNumId w:val="25"/>
  </w:num>
  <w:num w:numId="19">
    <w:abstractNumId w:val="1"/>
  </w:num>
  <w:num w:numId="20">
    <w:abstractNumId w:val="27"/>
  </w:num>
  <w:num w:numId="21">
    <w:abstractNumId w:val="26"/>
  </w:num>
  <w:num w:numId="22">
    <w:abstractNumId w:val="14"/>
  </w:num>
  <w:num w:numId="23">
    <w:abstractNumId w:val="36"/>
  </w:num>
  <w:num w:numId="24">
    <w:abstractNumId w:val="0"/>
  </w:num>
  <w:num w:numId="25">
    <w:abstractNumId w:val="16"/>
  </w:num>
  <w:num w:numId="26">
    <w:abstractNumId w:val="31"/>
  </w:num>
  <w:num w:numId="27">
    <w:abstractNumId w:val="29"/>
  </w:num>
  <w:num w:numId="28">
    <w:abstractNumId w:val="39"/>
  </w:num>
  <w:num w:numId="29">
    <w:abstractNumId w:val="38"/>
  </w:num>
  <w:num w:numId="30">
    <w:abstractNumId w:val="3"/>
  </w:num>
  <w:num w:numId="31">
    <w:abstractNumId w:val="18"/>
  </w:num>
  <w:num w:numId="32">
    <w:abstractNumId w:val="2"/>
  </w:num>
  <w:num w:numId="33">
    <w:abstractNumId w:val="11"/>
  </w:num>
  <w:num w:numId="34">
    <w:abstractNumId w:val="24"/>
  </w:num>
  <w:num w:numId="35">
    <w:abstractNumId w:val="21"/>
  </w:num>
  <w:num w:numId="36">
    <w:abstractNumId w:val="37"/>
  </w:num>
  <w:num w:numId="37">
    <w:abstractNumId w:val="32"/>
  </w:num>
  <w:num w:numId="38">
    <w:abstractNumId w:val="22"/>
  </w:num>
  <w:num w:numId="39">
    <w:abstractNumId w:val="6"/>
  </w:num>
  <w:num w:numId="40">
    <w:abstractNumId w:val="44"/>
  </w:num>
  <w:num w:numId="41">
    <w:abstractNumId w:val="8"/>
  </w:num>
  <w:num w:numId="42">
    <w:abstractNumId w:val="33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45"/>
  </w:num>
  <w:num w:numId="46">
    <w:abstractNumId w:val="5"/>
  </w:num>
  <w:num w:numId="47">
    <w:abstractNumId w:val="19"/>
  </w:num>
  <w:num w:numId="4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6D7B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159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101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8AE"/>
    <w:rsid w:val="00791155"/>
    <w:rsid w:val="00791FA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2AF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D38"/>
    <w:rsid w:val="00C5654C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6FFA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F8F17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09AB-63C3-43E1-888E-F69468FA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686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26</cp:revision>
  <cp:lastPrinted>2021-10-12T13:49:00Z</cp:lastPrinted>
  <dcterms:created xsi:type="dcterms:W3CDTF">2022-05-11T21:10:00Z</dcterms:created>
  <dcterms:modified xsi:type="dcterms:W3CDTF">2022-05-25T16:46:00Z</dcterms:modified>
</cp:coreProperties>
</file>