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01701E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January 24,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01701E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1:30-4:00p.m.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C878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C878B8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C878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C878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C878B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C878B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C878B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Matt Connell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C878B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C878B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Jo Harrington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E95CB8" w:rsidRDefault="00E95CB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Guests:</w:t>
            </w:r>
            <w:r w:rsidR="009176F5">
              <w:rPr>
                <w:rFonts w:ascii="Arial" w:hAnsi="Arial"/>
                <w:b/>
              </w:rPr>
              <w:t xml:space="preserve"> Matt Connell and Jo Harrington</w:t>
            </w:r>
            <w:r w:rsidR="000B6641">
              <w:rPr>
                <w:rFonts w:ascii="Arial" w:hAnsi="Arial"/>
                <w:b/>
              </w:rPr>
              <w:t xml:space="preserve"> (1:30-2:30p.m.)</w:t>
            </w:r>
          </w:p>
          <w:p w:rsidR="009176F5" w:rsidRDefault="009176F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Bootcamp Project</w:t>
            </w:r>
          </w:p>
          <w:p w:rsidR="008B5E31" w:rsidRDefault="003F70E8" w:rsidP="008B5E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F70E8">
              <w:rPr>
                <w:rFonts w:ascii="Arial" w:hAnsi="Arial" w:cs="Arial"/>
                <w:color w:val="FF0000"/>
                <w:sz w:val="24"/>
                <w:szCs w:val="24"/>
              </w:rPr>
              <w:t>Came from a conversation with Erika Jenkins-Moss, need for the basics of how do we do teaching</w:t>
            </w:r>
          </w:p>
          <w:p w:rsidR="003F70E8" w:rsidRPr="008B5E31" w:rsidRDefault="003F70E8" w:rsidP="008B5E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5E31">
              <w:rPr>
                <w:rFonts w:ascii="Arial" w:hAnsi="Arial" w:cs="Arial"/>
                <w:color w:val="FF0000"/>
                <w:sz w:val="24"/>
                <w:szCs w:val="24"/>
              </w:rPr>
              <w:t>Syllabus</w:t>
            </w:r>
            <w:r w:rsidR="004E423C" w:rsidRPr="008B5E31">
              <w:rPr>
                <w:rFonts w:ascii="Arial" w:hAnsi="Arial" w:cs="Arial"/>
                <w:color w:val="FF0000"/>
                <w:sz w:val="24"/>
                <w:szCs w:val="24"/>
              </w:rPr>
              <w:t xml:space="preserve"> development (Concourse)</w:t>
            </w:r>
          </w:p>
          <w:p w:rsidR="004E423C" w:rsidRDefault="004E423C" w:rsidP="004E423C">
            <w:pPr>
              <w:pStyle w:val="ListParagraph"/>
              <w:numPr>
                <w:ilvl w:val="0"/>
                <w:numId w:val="3"/>
              </w:numPr>
              <w:ind w:left="168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What sections can be edited</w:t>
            </w:r>
          </w:p>
          <w:p w:rsidR="004E423C" w:rsidRDefault="004E423C" w:rsidP="004E423C">
            <w:pPr>
              <w:pStyle w:val="ListParagraph"/>
              <w:numPr>
                <w:ilvl w:val="0"/>
                <w:numId w:val="3"/>
              </w:numPr>
              <w:ind w:left="168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Instructor policies</w:t>
            </w:r>
          </w:p>
          <w:p w:rsidR="004E423C" w:rsidRPr="003F70E8" w:rsidRDefault="004E423C" w:rsidP="004E423C">
            <w:pPr>
              <w:pStyle w:val="ListParagraph"/>
              <w:numPr>
                <w:ilvl w:val="0"/>
                <w:numId w:val="3"/>
              </w:numPr>
              <w:ind w:left="168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Examples on how to write a good objective</w:t>
            </w:r>
          </w:p>
          <w:p w:rsidR="009176F5" w:rsidRDefault="009176F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Design Project</w:t>
            </w:r>
          </w:p>
          <w:p w:rsidR="008B5E31" w:rsidRDefault="008B5E31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5E31">
              <w:rPr>
                <w:rFonts w:ascii="Arial" w:hAnsi="Arial" w:cs="Arial"/>
                <w:color w:val="FF0000"/>
                <w:sz w:val="24"/>
                <w:szCs w:val="24"/>
              </w:rPr>
              <w:t>A resource that targets the student to content interaction</w:t>
            </w:r>
          </w:p>
          <w:p w:rsidR="008B5E31" w:rsidRDefault="008B5E31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Barton currently has three licenses </w:t>
            </w:r>
            <w:r w:rsidR="00D86DB5">
              <w:rPr>
                <w:rFonts w:ascii="Arial" w:hAnsi="Arial" w:cs="Arial"/>
                <w:color w:val="FF0000"/>
                <w:sz w:val="24"/>
                <w:szCs w:val="24"/>
              </w:rPr>
              <w:t xml:space="preserve">to use H5P web site, The Center’s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strategic plan is asking for 25 more (the licenses are based on the people building </w:t>
            </w:r>
            <w:r w:rsidR="000520E1">
              <w:rPr>
                <w:rFonts w:ascii="Arial" w:hAnsi="Arial" w:cs="Arial"/>
                <w:color w:val="FF0000"/>
                <w:sz w:val="24"/>
                <w:szCs w:val="24"/>
              </w:rPr>
              <w:t>it) faculty can currently send the URL to their page and the builders will place it in the course</w:t>
            </w:r>
          </w:p>
          <w:p w:rsidR="000F2B66" w:rsidRDefault="000520E1" w:rsidP="000F2B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Revamping course templates</w:t>
            </w:r>
          </w:p>
          <w:p w:rsidR="000F2B66" w:rsidRPr="000F2B66" w:rsidRDefault="000F2B66" w:rsidP="000F2B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Build a blueprint course inside of Canvas</w:t>
            </w:r>
          </w:p>
          <w:p w:rsidR="009176F5" w:rsidRDefault="009176F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Rubric Project</w:t>
            </w:r>
          </w:p>
          <w:p w:rsidR="00D74798" w:rsidRPr="00D74798" w:rsidRDefault="00D74798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4798">
              <w:rPr>
                <w:rFonts w:ascii="Arial" w:hAnsi="Arial" w:cs="Arial"/>
                <w:color w:val="FF0000"/>
                <w:sz w:val="24"/>
                <w:szCs w:val="24"/>
              </w:rPr>
              <w:t>There is a dra</w:t>
            </w:r>
            <w:r w:rsidR="000F2B66">
              <w:rPr>
                <w:rFonts w:ascii="Arial" w:hAnsi="Arial" w:cs="Arial"/>
                <w:color w:val="FF0000"/>
                <w:sz w:val="24"/>
                <w:szCs w:val="24"/>
              </w:rPr>
              <w:t>ft and it is ready to submit to the VP (</w:t>
            </w:r>
            <w:r w:rsidR="00482B41">
              <w:rPr>
                <w:rFonts w:ascii="Arial" w:hAnsi="Arial" w:cs="Arial"/>
                <w:color w:val="FF0000"/>
                <w:sz w:val="24"/>
                <w:szCs w:val="24"/>
              </w:rPr>
              <w:t>t</w:t>
            </w:r>
            <w:r w:rsidR="000F2B66">
              <w:rPr>
                <w:rFonts w:ascii="Arial" w:hAnsi="Arial" w:cs="Arial"/>
                <w:color w:val="FF0000"/>
                <w:sz w:val="24"/>
                <w:szCs w:val="24"/>
              </w:rPr>
              <w:t>he draft is for any c</w:t>
            </w:r>
            <w:r w:rsidR="00482B41">
              <w:rPr>
                <w:rFonts w:ascii="Arial" w:hAnsi="Arial" w:cs="Arial"/>
                <w:color w:val="FF0000"/>
                <w:sz w:val="24"/>
                <w:szCs w:val="24"/>
              </w:rPr>
              <w:t>ourse and all course deliveries)</w:t>
            </w:r>
          </w:p>
          <w:p w:rsidR="009176F5" w:rsidRDefault="009176F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Binder Project</w:t>
            </w:r>
          </w:p>
          <w:p w:rsidR="000F2B66" w:rsidRDefault="000F2B66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2B66">
              <w:rPr>
                <w:rFonts w:ascii="Arial" w:hAnsi="Arial" w:cs="Arial"/>
                <w:color w:val="FF0000"/>
                <w:sz w:val="24"/>
                <w:szCs w:val="24"/>
              </w:rPr>
              <w:t>Created for CEP Instructors</w:t>
            </w:r>
          </w:p>
          <w:p w:rsidR="00A7061D" w:rsidRPr="000F2B66" w:rsidRDefault="00A7061D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Process to ensure appropriate quality and rigor</w:t>
            </w:r>
            <w:bookmarkStart w:id="0" w:name="_GoBack"/>
            <w:bookmarkEnd w:id="0"/>
          </w:p>
          <w:p w:rsidR="009176F5" w:rsidRDefault="009176F5" w:rsidP="009176F5">
            <w:pPr>
              <w:rPr>
                <w:rFonts w:ascii="Arial" w:hAnsi="Arial"/>
              </w:rPr>
            </w:pPr>
          </w:p>
          <w:p w:rsidR="00924E45" w:rsidRPr="0004138C" w:rsidRDefault="00AB2299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2B2922" w:rsidRDefault="002B2922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Physical Contact Statement</w:t>
            </w:r>
            <w:r w:rsidR="00CB68F5">
              <w:rPr>
                <w:rFonts w:ascii="Arial" w:hAnsi="Arial"/>
                <w:sz w:val="24"/>
                <w:szCs w:val="24"/>
              </w:rPr>
              <w:t xml:space="preserve"> – Email Sent January 19th</w:t>
            </w:r>
          </w:p>
          <w:p w:rsidR="002B2922" w:rsidRDefault="004E3D7E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Final List of Courses that Will Need the Statement Added to the Course Syllabi</w:t>
            </w:r>
          </w:p>
          <w:p w:rsidR="00227953" w:rsidRPr="00227953" w:rsidRDefault="00227953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27953">
              <w:rPr>
                <w:rFonts w:ascii="Arial" w:hAnsi="Arial"/>
                <w:color w:val="FF0000"/>
                <w:sz w:val="24"/>
                <w:szCs w:val="24"/>
              </w:rPr>
              <w:t>Summer 2022 is the target implementation</w:t>
            </w:r>
          </w:p>
          <w:p w:rsidR="004E3D7E" w:rsidRDefault="00A63A44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Process for Updating Program Handbooks</w:t>
            </w:r>
          </w:p>
          <w:p w:rsidR="00456F9E" w:rsidRPr="00456F9E" w:rsidRDefault="00456F9E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56F9E">
              <w:rPr>
                <w:rFonts w:ascii="Arial" w:hAnsi="Arial"/>
                <w:color w:val="FF0000"/>
                <w:sz w:val="24"/>
                <w:szCs w:val="24"/>
              </w:rPr>
              <w:t xml:space="preserve">WTCE handbooks updated during the summer and will be in the 2022-23 handbooks.  </w:t>
            </w:r>
          </w:p>
          <w:p w:rsidR="00456F9E" w:rsidRPr="00456F9E" w:rsidRDefault="00456F9E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56F9E">
              <w:rPr>
                <w:rFonts w:ascii="Arial" w:hAnsi="Arial"/>
                <w:color w:val="FF0000"/>
                <w:sz w:val="24"/>
                <w:szCs w:val="24"/>
              </w:rPr>
              <w:t>Military Programs is under review now and can add the statement</w:t>
            </w:r>
          </w:p>
          <w:p w:rsidR="00A63A44" w:rsidRDefault="00A63A44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Communication Strategy for Faculty Notification</w:t>
            </w:r>
          </w:p>
          <w:p w:rsidR="00456F9E" w:rsidRPr="00456F9E" w:rsidRDefault="00456F9E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56F9E">
              <w:rPr>
                <w:rFonts w:ascii="Arial" w:hAnsi="Arial"/>
                <w:color w:val="FF0000"/>
                <w:sz w:val="24"/>
                <w:szCs w:val="24"/>
              </w:rPr>
              <w:t>Military Programs will notify faculty</w:t>
            </w:r>
          </w:p>
          <w:p w:rsidR="00456F9E" w:rsidRDefault="00456F9E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56F9E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WTCE Executive Directors will visit with the leads of the programs</w:t>
            </w:r>
          </w:p>
          <w:p w:rsidR="004000F0" w:rsidRPr="00456F9E" w:rsidRDefault="004000F0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Academics will notify their faculty</w:t>
            </w:r>
          </w:p>
          <w:p w:rsidR="00A63A44" w:rsidRDefault="00A63A44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Handbook?</w:t>
            </w:r>
          </w:p>
          <w:p w:rsidR="00456F9E" w:rsidRPr="00456F9E" w:rsidRDefault="00456F9E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56F9E">
              <w:rPr>
                <w:rFonts w:ascii="Arial" w:hAnsi="Arial"/>
                <w:color w:val="FF0000"/>
                <w:sz w:val="24"/>
                <w:szCs w:val="24"/>
              </w:rPr>
              <w:t>Does not need to be in the Faculty Handbook</w:t>
            </w:r>
          </w:p>
          <w:p w:rsidR="00106682" w:rsidRDefault="00D5038F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Default="00D5038F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944080" w:rsidRDefault="00B854B2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Ad</w:t>
            </w:r>
            <w:r w:rsidR="00941EE7" w:rsidRPr="00944080">
              <w:rPr>
                <w:rFonts w:ascii="Arial" w:hAnsi="Arial" w:cs="Arial"/>
                <w:sz w:val="24"/>
                <w:szCs w:val="24"/>
              </w:rPr>
              <w:t>junct (</w:t>
            </w:r>
            <w:r w:rsidR="00471AA5" w:rsidRPr="00944080">
              <w:rPr>
                <w:rFonts w:ascii="Arial" w:hAnsi="Arial" w:cs="Arial"/>
                <w:sz w:val="24"/>
                <w:szCs w:val="24"/>
              </w:rPr>
              <w:t>fall 2021) – January 7</w:t>
            </w:r>
            <w:r w:rsidR="0001701E">
              <w:rPr>
                <w:rFonts w:ascii="Arial" w:hAnsi="Arial" w:cs="Arial"/>
                <w:sz w:val="24"/>
                <w:szCs w:val="24"/>
              </w:rPr>
              <w:t>; Adjunct (spring 2022) – May 19</w:t>
            </w:r>
          </w:p>
          <w:p w:rsidR="00B57D4F" w:rsidRPr="00944080" w:rsidRDefault="00B57D4F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FT Faculty in the t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>enure track or tenured rotation</w:t>
            </w:r>
            <w:r w:rsidR="008A4E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C64">
              <w:rPr>
                <w:rFonts w:ascii="Arial" w:hAnsi="Arial" w:cs="Arial"/>
                <w:sz w:val="24"/>
                <w:szCs w:val="24"/>
              </w:rPr>
              <w:t>to Elaine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A5F">
              <w:rPr>
                <w:rFonts w:ascii="Arial" w:hAnsi="Arial" w:cs="Arial"/>
                <w:sz w:val="24"/>
                <w:szCs w:val="24"/>
              </w:rPr>
              <w:t>–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A5F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March </w:t>
            </w:r>
            <w:r w:rsidR="00F11A5F">
              <w:rPr>
                <w:rFonts w:ascii="Arial" w:hAnsi="Arial" w:cs="Arial"/>
                <w:b/>
                <w:color w:val="FF0000"/>
                <w:sz w:val="24"/>
                <w:szCs w:val="24"/>
              </w:rPr>
              <w:t>4 (No Extensions)</w:t>
            </w:r>
          </w:p>
          <w:p w:rsidR="00187DC5" w:rsidRPr="00C766F4" w:rsidRDefault="00187DC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490D5A" w:rsidRDefault="00490D5A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 2021-2023</w:t>
            </w:r>
          </w:p>
          <w:p w:rsidR="00423488" w:rsidRPr="0032699B" w:rsidRDefault="008A4EC2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Goal Reports (2020-2022 and 2021-2023) Due February 1</w:t>
            </w:r>
          </w:p>
          <w:p w:rsidR="009D0D28" w:rsidRDefault="00D01F37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000F6C" w:rsidRDefault="00A32495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FY 22 </w:t>
            </w:r>
            <w:r w:rsidR="00000F6C">
              <w:rPr>
                <w:rFonts w:ascii="Arial" w:hAnsi="Arial" w:cs="Arial"/>
                <w:color w:val="000000"/>
                <w:sz w:val="24"/>
                <w:szCs w:val="24"/>
              </w:rPr>
              <w:t>Strategic Approvals – Status</w:t>
            </w:r>
          </w:p>
          <w:p w:rsidR="004000F0" w:rsidRPr="004000F0" w:rsidRDefault="004000F0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00F0">
              <w:rPr>
                <w:rFonts w:ascii="Arial" w:hAnsi="Arial" w:cs="Arial"/>
                <w:color w:val="FF0000"/>
                <w:sz w:val="24"/>
                <w:szCs w:val="24"/>
              </w:rPr>
              <w:t>Brian hired a videographer (but he is currently deployed)</w:t>
            </w:r>
          </w:p>
          <w:p w:rsidR="004000F0" w:rsidRPr="004000F0" w:rsidRDefault="004000F0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00F0">
              <w:rPr>
                <w:rFonts w:ascii="Arial" w:hAnsi="Arial" w:cs="Arial"/>
                <w:color w:val="FF0000"/>
                <w:sz w:val="24"/>
                <w:szCs w:val="24"/>
              </w:rPr>
              <w:t>Brian will check with Michelle on lighting</w:t>
            </w:r>
          </w:p>
          <w:p w:rsidR="004000F0" w:rsidRPr="004000F0" w:rsidRDefault="004000F0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00F0">
              <w:rPr>
                <w:rFonts w:ascii="Arial" w:hAnsi="Arial" w:cs="Arial"/>
                <w:color w:val="FF0000"/>
                <w:sz w:val="24"/>
                <w:szCs w:val="24"/>
              </w:rPr>
              <w:t>Kurt will check on the touch screens and will follow up with Erika Jenkins-Moss</w:t>
            </w:r>
          </w:p>
          <w:p w:rsidR="004000F0" w:rsidRPr="004000F0" w:rsidRDefault="004000F0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00F0">
              <w:rPr>
                <w:rFonts w:ascii="Arial" w:hAnsi="Arial" w:cs="Arial"/>
                <w:color w:val="FF0000"/>
                <w:sz w:val="24"/>
                <w:szCs w:val="24"/>
              </w:rPr>
              <w:t>Kathy has not hired a CDL instructor but there is a driving assistant that may move up</w:t>
            </w:r>
          </w:p>
          <w:p w:rsidR="004000F0" w:rsidRPr="004000F0" w:rsidRDefault="004000F0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00F0">
              <w:rPr>
                <w:rFonts w:ascii="Arial" w:hAnsi="Arial" w:cs="Arial"/>
                <w:color w:val="FF0000"/>
                <w:sz w:val="24"/>
                <w:szCs w:val="24"/>
              </w:rPr>
              <w:t>Welding instructor is being advertised</w:t>
            </w:r>
          </w:p>
          <w:p w:rsidR="00220A10" w:rsidRPr="00306FA6" w:rsidRDefault="00220A10" w:rsidP="0024089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06FA6">
              <w:rPr>
                <w:rFonts w:ascii="Arial" w:hAnsi="Arial" w:cs="Arial"/>
                <w:sz w:val="24"/>
                <w:szCs w:val="24"/>
              </w:rPr>
              <w:t>FY23 Strategic Planning</w:t>
            </w:r>
          </w:p>
          <w:p w:rsidR="00306FA6" w:rsidRDefault="0032699B" w:rsidP="00240898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Reviewing</w:t>
            </w:r>
          </w:p>
          <w:p w:rsidR="0032699B" w:rsidRDefault="0032699B" w:rsidP="00240898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with Mark &amp; Michelle</w:t>
            </w:r>
          </w:p>
          <w:p w:rsidR="00CD5874" w:rsidRDefault="000A48A4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F716BC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BC54FC" w:rsidRPr="00A210CD" w:rsidRDefault="00AF2EBF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210CD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A210CD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A210C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823DA" w:rsidRPr="00A210CD">
              <w:rPr>
                <w:rFonts w:ascii="Arial" w:hAnsi="Arial" w:cs="Arial"/>
                <w:sz w:val="24"/>
                <w:szCs w:val="24"/>
              </w:rPr>
              <w:t>Need to Discuss with President</w:t>
            </w:r>
          </w:p>
          <w:p w:rsidR="00707716" w:rsidRPr="009D0D28" w:rsidRDefault="00707716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5576A7" w:rsidRDefault="005576A7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89497E" w:rsidRPr="0089497E" w:rsidRDefault="00BA11F8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</w:t>
            </w:r>
            <w:r w:rsidR="0089497E">
              <w:rPr>
                <w:rFonts w:ascii="Arial" w:hAnsi="Arial"/>
                <w:sz w:val="24"/>
                <w:szCs w:val="24"/>
              </w:rPr>
              <w:t>–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Status</w:t>
            </w:r>
            <w:r w:rsidR="004000F0">
              <w:rPr>
                <w:rFonts w:ascii="Arial" w:hAnsi="Arial"/>
                <w:sz w:val="24"/>
                <w:szCs w:val="24"/>
              </w:rPr>
              <w:t xml:space="preserve"> </w:t>
            </w:r>
            <w:r w:rsidR="004000F0" w:rsidRPr="004000F0">
              <w:rPr>
                <w:rFonts w:ascii="Arial" w:hAnsi="Arial"/>
                <w:color w:val="FF0000"/>
                <w:sz w:val="24"/>
                <w:szCs w:val="24"/>
              </w:rPr>
              <w:t>Complete</w:t>
            </w:r>
          </w:p>
          <w:p w:rsidR="00355F11" w:rsidRPr="00355F11" w:rsidRDefault="00C151A1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#2535 Children in the Classroom</w:t>
            </w:r>
            <w:r w:rsidR="00137E34">
              <w:rPr>
                <w:rFonts w:ascii="Arial" w:hAnsi="Arial"/>
                <w:sz w:val="24"/>
                <w:szCs w:val="24"/>
              </w:rPr>
              <w:t xml:space="preserve"> – </w:t>
            </w:r>
            <w:r w:rsidR="0032699B">
              <w:rPr>
                <w:rFonts w:ascii="Arial" w:hAnsi="Arial"/>
                <w:sz w:val="24"/>
                <w:szCs w:val="24"/>
              </w:rPr>
              <w:t>1</w:t>
            </w:r>
            <w:r w:rsidR="0032699B" w:rsidRPr="0032699B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="0032699B">
              <w:rPr>
                <w:rFonts w:ascii="Arial" w:hAnsi="Arial"/>
                <w:sz w:val="24"/>
                <w:szCs w:val="24"/>
              </w:rPr>
              <w:t xml:space="preserve"> Reading Complete</w:t>
            </w:r>
          </w:p>
          <w:p w:rsidR="00B87E38" w:rsidRDefault="006C6933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Maximum Credit Hour Procedure</w:t>
            </w:r>
          </w:p>
          <w:p w:rsidR="00764C0C" w:rsidRDefault="00764C0C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3F02">
              <w:rPr>
                <w:rFonts w:ascii="Arial" w:hAnsi="Arial"/>
                <w:sz w:val="24"/>
                <w:szCs w:val="24"/>
              </w:rPr>
              <w:t>Anatomage Table – Online Version/Increased Usage</w:t>
            </w:r>
          </w:p>
          <w:p w:rsidR="00B47B25" w:rsidRPr="00163A24" w:rsidRDefault="00B87E38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7E38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1D4A91" w:rsidRPr="00EE28C7" w:rsidRDefault="001D4A91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31AE0">
              <w:rPr>
                <w:rFonts w:ascii="Arial" w:hAnsi="Arial"/>
                <w:sz w:val="24"/>
              </w:rPr>
              <w:t>Diversi</w:t>
            </w:r>
            <w:r w:rsidR="00965D05">
              <w:rPr>
                <w:rFonts w:ascii="Arial" w:hAnsi="Arial"/>
                <w:sz w:val="24"/>
              </w:rPr>
              <w:t>ty, Equity &amp; Inclusion Professional Development</w:t>
            </w:r>
          </w:p>
          <w:p w:rsidR="00EE28C7" w:rsidRPr="00EE28C7" w:rsidRDefault="00EE28C7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E28C7">
              <w:rPr>
                <w:rFonts w:ascii="Arial" w:hAnsi="Arial"/>
                <w:color w:val="FF0000"/>
                <w:sz w:val="24"/>
              </w:rPr>
              <w:t>NISOD</w:t>
            </w:r>
          </w:p>
          <w:p w:rsidR="00EE28C7" w:rsidRPr="00EE28C7" w:rsidRDefault="00EE28C7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E28C7">
              <w:rPr>
                <w:rFonts w:ascii="Arial" w:hAnsi="Arial"/>
                <w:color w:val="FF0000"/>
                <w:sz w:val="24"/>
              </w:rPr>
              <w:t>There was a presenter at Leadership Institute that was good</w:t>
            </w:r>
          </w:p>
          <w:p w:rsidR="00EB0C45" w:rsidRPr="00731AE0" w:rsidRDefault="00EB0C4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Subscription &amp; Competency Based Learning Workgroup</w:t>
            </w:r>
          </w:p>
          <w:p w:rsidR="00EB0C45" w:rsidRPr="00841298" w:rsidRDefault="00EB0C4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Barton Online Workgroup Group (</w:t>
            </w:r>
            <w:r w:rsidRPr="00B87E38">
              <w:rPr>
                <w:rFonts w:ascii="Arial" w:hAnsi="Arial"/>
                <w:sz w:val="24"/>
                <w:szCs w:val="24"/>
              </w:rPr>
              <w:t>Amperage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 w:rsidR="00EB0C45" w:rsidRDefault="00EB0C4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EAB</w:t>
            </w:r>
          </w:p>
          <w:p w:rsidR="00EB0C45" w:rsidRPr="00F435B3" w:rsidRDefault="00EB0C45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President’s Staff Leadership Workshop</w:t>
            </w:r>
          </w:p>
          <w:p w:rsidR="007D4F79" w:rsidRDefault="007D4F79" w:rsidP="00B87E38">
            <w:pPr>
              <w:rPr>
                <w:rFonts w:ascii="Arial" w:hAnsi="Arial"/>
                <w:b/>
              </w:rPr>
            </w:pPr>
          </w:p>
          <w:p w:rsidR="00A20BA7" w:rsidRPr="00B87E38" w:rsidRDefault="00A20BA7" w:rsidP="00B87E38">
            <w:pPr>
              <w:rPr>
                <w:rFonts w:ascii="Arial" w:hAnsi="Arial"/>
              </w:rPr>
            </w:pPr>
            <w:r w:rsidRPr="00B87E38">
              <w:rPr>
                <w:rFonts w:ascii="Arial" w:hAnsi="Arial"/>
                <w:b/>
              </w:rPr>
              <w:t>New Topics</w:t>
            </w:r>
          </w:p>
          <w:p w:rsidR="00BE22C5" w:rsidRPr="00681A28" w:rsidRDefault="00CB68F5" w:rsidP="00681A2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Procedure #2481 – Draft Updates Sent on January 19</w:t>
            </w:r>
            <w:r w:rsidRPr="00CB68F5">
              <w:rPr>
                <w:rFonts w:ascii="Arial" w:hAnsi="Arial"/>
                <w:sz w:val="24"/>
                <w:vertAlign w:val="superscript"/>
              </w:rPr>
              <w:t>th</w:t>
            </w:r>
            <w:r>
              <w:rPr>
                <w:rFonts w:ascii="Arial" w:hAnsi="Arial"/>
                <w:sz w:val="24"/>
              </w:rPr>
              <w:t xml:space="preserve"> via email</w:t>
            </w:r>
            <w:r w:rsidR="00BE22C5" w:rsidRPr="00681A28">
              <w:rPr>
                <w:rFonts w:ascii="Arial" w:hAnsi="Arial"/>
                <w:sz w:val="24"/>
              </w:rPr>
              <w:t xml:space="preserve"> </w:t>
            </w:r>
          </w:p>
          <w:p w:rsidR="00240898" w:rsidRPr="00240898" w:rsidRDefault="00240898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Procedure #2511</w:t>
            </w:r>
          </w:p>
          <w:p w:rsidR="00240898" w:rsidRPr="00240898" w:rsidRDefault="00240898" w:rsidP="002408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Procedure #2530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DD33EB" w:rsidRPr="00EB0C45" w:rsidRDefault="00DD33EB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Corrections Program</w:t>
            </w:r>
            <w:r w:rsidR="00EB0C45">
              <w:rPr>
                <w:rFonts w:ascii="Arial" w:hAnsi="Arial" w:cs="Arial"/>
                <w:sz w:val="24"/>
                <w:szCs w:val="24"/>
              </w:rPr>
              <w:t xml:space="preserve"> Closure</w:t>
            </w:r>
            <w:r w:rsidRPr="00EB0C45">
              <w:rPr>
                <w:rFonts w:ascii="Arial" w:hAnsi="Arial" w:cs="Arial"/>
                <w:sz w:val="24"/>
                <w:szCs w:val="24"/>
              </w:rPr>
              <w:t>/Maintain Individual Courses for Transient Population</w:t>
            </w:r>
            <w:r w:rsidR="00EB0C45">
              <w:rPr>
                <w:rFonts w:ascii="Arial" w:hAnsi="Arial" w:cs="Arial"/>
                <w:sz w:val="24"/>
                <w:szCs w:val="24"/>
              </w:rPr>
              <w:t>/Connecticut Contact</w:t>
            </w:r>
          </w:p>
          <w:p w:rsidR="00683858" w:rsidRPr="00EB0C45" w:rsidRDefault="00683858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lastRenderedPageBreak/>
              <w:t xml:space="preserve">Plumbing Certificate – </w:t>
            </w:r>
            <w:r w:rsidR="006C6933" w:rsidRPr="00EB0C45">
              <w:rPr>
                <w:rFonts w:ascii="Arial" w:hAnsi="Arial" w:cs="Arial"/>
                <w:sz w:val="24"/>
                <w:szCs w:val="24"/>
              </w:rPr>
              <w:t>Myrna’s Step</w:t>
            </w:r>
          </w:p>
          <w:p w:rsidR="009F6C72" w:rsidRPr="00EB0C45" w:rsidRDefault="009F6C72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Dance Certificate</w:t>
            </w:r>
            <w:r w:rsidR="007E6A68" w:rsidRPr="00EB0C45">
              <w:rPr>
                <w:rFonts w:ascii="Arial" w:hAnsi="Arial" w:cs="Arial"/>
                <w:sz w:val="24"/>
                <w:szCs w:val="24"/>
              </w:rPr>
              <w:t xml:space="preserve"> – Moving Forward with a Modified CAM (PTP/LICC)</w:t>
            </w:r>
          </w:p>
          <w:p w:rsidR="006E605E" w:rsidRPr="00EB0C45" w:rsidRDefault="006E605E" w:rsidP="00C5777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Cybersecurity</w:t>
            </w:r>
            <w:r w:rsidR="00E7096F" w:rsidRPr="00EB0C45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EB0C45">
              <w:rPr>
                <w:rFonts w:ascii="Arial" w:hAnsi="Arial" w:cs="Arial"/>
                <w:sz w:val="24"/>
                <w:szCs w:val="24"/>
              </w:rPr>
              <w:t xml:space="preserve"> KBOR Approved/Myrna’s Step</w:t>
            </w:r>
          </w:p>
          <w:p w:rsidR="009969C4" w:rsidRPr="00EB0C45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Welding</w:t>
            </w:r>
            <w:r w:rsidR="00503DBA" w:rsidRPr="00EB0C45">
              <w:rPr>
                <w:rFonts w:ascii="Arial" w:hAnsi="Arial" w:cs="Arial"/>
                <w:sz w:val="24"/>
                <w:szCs w:val="24"/>
              </w:rPr>
              <w:t xml:space="preserve"> Expansion – Moving Forward with Full CAM</w:t>
            </w:r>
          </w:p>
          <w:p w:rsidR="00AA5E3D" w:rsidRPr="00EB0C45" w:rsidRDefault="009F6C72" w:rsidP="00DD33EB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Digital Communications</w:t>
            </w:r>
            <w:r w:rsidR="00ED492B" w:rsidRPr="00EB0C45">
              <w:rPr>
                <w:rFonts w:ascii="Arial" w:hAnsi="Arial" w:cs="Arial"/>
                <w:sz w:val="24"/>
                <w:szCs w:val="24"/>
              </w:rPr>
              <w:t xml:space="preserve"> – PTP Details/Course Development</w:t>
            </w:r>
          </w:p>
          <w:p w:rsidR="00AA5E3D" w:rsidRPr="00EB0C45" w:rsidRDefault="00AA5E3D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Nursing</w:t>
            </w:r>
            <w:r w:rsidR="00ED492B" w:rsidRPr="00EB0C45">
              <w:rPr>
                <w:rFonts w:ascii="Arial" w:hAnsi="Arial" w:cs="Arial"/>
                <w:sz w:val="24"/>
                <w:szCs w:val="24"/>
              </w:rPr>
              <w:t xml:space="preserve"> – State Board</w:t>
            </w:r>
            <w:r w:rsidR="00683858" w:rsidRPr="00EB0C45">
              <w:rPr>
                <w:rFonts w:ascii="Arial" w:hAnsi="Arial" w:cs="Arial"/>
                <w:sz w:val="24"/>
                <w:szCs w:val="24"/>
              </w:rPr>
              <w:t xml:space="preserve"> Approval – </w:t>
            </w:r>
            <w:r w:rsidR="00503DBA" w:rsidRPr="00EB0C45">
              <w:rPr>
                <w:rFonts w:ascii="Arial" w:hAnsi="Arial" w:cs="Arial"/>
                <w:sz w:val="24"/>
                <w:szCs w:val="24"/>
              </w:rPr>
              <w:t xml:space="preserve">Submitted to </w:t>
            </w:r>
            <w:r w:rsidR="00683858" w:rsidRPr="00EB0C45">
              <w:rPr>
                <w:rFonts w:ascii="Arial" w:hAnsi="Arial" w:cs="Arial"/>
                <w:sz w:val="24"/>
                <w:szCs w:val="24"/>
              </w:rPr>
              <w:t>ACEN</w:t>
            </w:r>
          </w:p>
          <w:p w:rsidR="00ED492B" w:rsidRDefault="00ED492B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CNH Technician Training</w:t>
            </w:r>
          </w:p>
          <w:p w:rsidR="00EB0C45" w:rsidRPr="00EB0C45" w:rsidRDefault="00EB0C45" w:rsidP="00EB0C45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Maximum Student Enrollment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5578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85578E">
              <w:rPr>
                <w:rFonts w:ascii="Arial" w:hAnsi="Arial" w:cs="Arial"/>
                <w:sz w:val="24"/>
                <w:szCs w:val="24"/>
                <w:highlight w:val="cyan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6F9E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163A2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63A24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D66815">
              <w:rPr>
                <w:rFonts w:ascii="Arial" w:hAnsi="Arial" w:cs="Arial"/>
                <w:sz w:val="24"/>
                <w:szCs w:val="24"/>
                <w:highlight w:val="cyan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D30ABB">
        <w:trPr>
          <w:trHeight w:val="70"/>
        </w:trPr>
        <w:tc>
          <w:tcPr>
            <w:tcW w:w="8905" w:type="dxa"/>
            <w:gridSpan w:val="10"/>
            <w:shd w:val="clear" w:color="auto" w:fill="auto"/>
          </w:tcPr>
          <w:p w:rsidR="00D46636" w:rsidRDefault="00F1776A" w:rsidP="008937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240898" w:rsidRDefault="00240898" w:rsidP="008937B3">
            <w:pPr>
              <w:rPr>
                <w:rFonts w:ascii="Arial" w:hAnsi="Arial"/>
                <w:b/>
              </w:rPr>
            </w:pPr>
          </w:p>
          <w:p w:rsidR="00240898" w:rsidRDefault="00240898" w:rsidP="008937B3">
            <w:pPr>
              <w:rPr>
                <w:rFonts w:ascii="Arial" w:hAnsi="Arial"/>
                <w:b/>
              </w:rPr>
            </w:pPr>
          </w:p>
          <w:p w:rsidR="00240898" w:rsidRDefault="00240898" w:rsidP="008937B3">
            <w:pPr>
              <w:rPr>
                <w:rFonts w:ascii="Arial" w:hAnsi="Arial"/>
                <w:b/>
              </w:rPr>
            </w:pPr>
          </w:p>
          <w:p w:rsidR="00240898" w:rsidRDefault="00240898" w:rsidP="008937B3">
            <w:pPr>
              <w:rPr>
                <w:rFonts w:ascii="Arial" w:hAnsi="Arial"/>
                <w:b/>
              </w:rPr>
            </w:pPr>
          </w:p>
          <w:p w:rsidR="00240898" w:rsidRDefault="0024089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Default="00B87E38" w:rsidP="008937B3">
            <w:pPr>
              <w:rPr>
                <w:rFonts w:ascii="Arial" w:hAnsi="Arial"/>
                <w:b/>
              </w:rPr>
            </w:pPr>
          </w:p>
          <w:p w:rsidR="00B87E38" w:rsidRPr="0004138C" w:rsidRDefault="00B87E38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EB0C45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February 15</w:t>
      </w:r>
      <w:r w:rsidR="001F5352">
        <w:rPr>
          <w:rFonts w:ascii="Arial" w:hAnsi="Arial"/>
          <w:b/>
          <w:bCs/>
        </w:rPr>
        <w:t xml:space="preserve"> 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EB0C45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January 26</w:t>
      </w:r>
      <w:r w:rsidR="00A54508">
        <w:rPr>
          <w:rFonts w:ascii="Arial" w:hAnsi="Arial"/>
          <w:b/>
          <w:bCs/>
        </w:rPr>
        <w:t xml:space="preserve"> – Dean’s Council (Accreditation)</w:t>
      </w:r>
    </w:p>
    <w:p w:rsidR="00A54508" w:rsidRPr="00F849A1" w:rsidRDefault="00A54508" w:rsidP="004228BE">
      <w:pPr>
        <w:ind w:left="450"/>
        <w:jc w:val="center"/>
        <w:rPr>
          <w:rFonts w:ascii="Arial" w:hAnsi="Arial"/>
          <w:b/>
          <w:bCs/>
        </w:rPr>
      </w:pPr>
    </w:p>
    <w:sectPr w:rsidR="00A54508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47" w:rsidRDefault="00AB4E47" w:rsidP="00F24EDF">
      <w:r>
        <w:separator/>
      </w:r>
    </w:p>
  </w:endnote>
  <w:endnote w:type="continuationSeparator" w:id="0">
    <w:p w:rsidR="00AB4E47" w:rsidRDefault="00AB4E4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47" w:rsidRDefault="00AB4E47" w:rsidP="00F24EDF">
      <w:r>
        <w:separator/>
      </w:r>
    </w:p>
  </w:footnote>
  <w:footnote w:type="continuationSeparator" w:id="0">
    <w:p w:rsidR="00AB4E47" w:rsidRDefault="00AB4E4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87290"/>
    <w:multiLevelType w:val="hybridMultilevel"/>
    <w:tmpl w:val="830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82459"/>
    <w:multiLevelType w:val="hybridMultilevel"/>
    <w:tmpl w:val="FEDA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3751"/>
    <w:multiLevelType w:val="hybridMultilevel"/>
    <w:tmpl w:val="AE7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1"/>
  </w:num>
  <w:num w:numId="4">
    <w:abstractNumId w:val="5"/>
  </w:num>
  <w:num w:numId="5">
    <w:abstractNumId w:val="16"/>
  </w:num>
  <w:num w:numId="6">
    <w:abstractNumId w:val="25"/>
  </w:num>
  <w:num w:numId="7">
    <w:abstractNumId w:val="8"/>
  </w:num>
  <w:num w:numId="8">
    <w:abstractNumId w:val="34"/>
  </w:num>
  <w:num w:numId="9">
    <w:abstractNumId w:val="4"/>
  </w:num>
  <w:num w:numId="10">
    <w:abstractNumId w:val="26"/>
  </w:num>
  <w:num w:numId="11">
    <w:abstractNumId w:val="23"/>
  </w:num>
  <w:num w:numId="12">
    <w:abstractNumId w:val="32"/>
  </w:num>
  <w:num w:numId="13">
    <w:abstractNumId w:val="14"/>
  </w:num>
  <w:num w:numId="14">
    <w:abstractNumId w:val="7"/>
  </w:num>
  <w:num w:numId="15">
    <w:abstractNumId w:val="31"/>
  </w:num>
  <w:num w:numId="16">
    <w:abstractNumId w:val="35"/>
  </w:num>
  <w:num w:numId="17">
    <w:abstractNumId w:val="12"/>
  </w:num>
  <w:num w:numId="18">
    <w:abstractNumId w:val="18"/>
  </w:num>
  <w:num w:numId="19">
    <w:abstractNumId w:val="1"/>
  </w:num>
  <w:num w:numId="20">
    <w:abstractNumId w:val="20"/>
  </w:num>
  <w:num w:numId="21">
    <w:abstractNumId w:val="19"/>
  </w:num>
  <w:num w:numId="22">
    <w:abstractNumId w:val="9"/>
  </w:num>
  <w:num w:numId="23">
    <w:abstractNumId w:val="27"/>
  </w:num>
  <w:num w:numId="24">
    <w:abstractNumId w:val="0"/>
  </w:num>
  <w:num w:numId="25">
    <w:abstractNumId w:val="11"/>
  </w:num>
  <w:num w:numId="26">
    <w:abstractNumId w:val="24"/>
  </w:num>
  <w:num w:numId="27">
    <w:abstractNumId w:val="22"/>
  </w:num>
  <w:num w:numId="28">
    <w:abstractNumId w:val="30"/>
  </w:num>
  <w:num w:numId="29">
    <w:abstractNumId w:val="29"/>
  </w:num>
  <w:num w:numId="30">
    <w:abstractNumId w:val="3"/>
  </w:num>
  <w:num w:numId="31">
    <w:abstractNumId w:val="13"/>
  </w:num>
  <w:num w:numId="32">
    <w:abstractNumId w:val="2"/>
  </w:num>
  <w:num w:numId="33">
    <w:abstractNumId w:val="6"/>
  </w:num>
  <w:num w:numId="34">
    <w:abstractNumId w:val="17"/>
  </w:num>
  <w:num w:numId="35">
    <w:abstractNumId w:val="15"/>
  </w:num>
  <w:num w:numId="36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6D7B"/>
    <w:rsid w:val="000C73D0"/>
    <w:rsid w:val="000D102A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0EBE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7836"/>
    <w:rsid w:val="00627DC5"/>
    <w:rsid w:val="00627E8B"/>
    <w:rsid w:val="00627F44"/>
    <w:rsid w:val="00634042"/>
    <w:rsid w:val="00634432"/>
    <w:rsid w:val="006345FF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1A28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4A4"/>
    <w:rsid w:val="00703A88"/>
    <w:rsid w:val="00703F02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2B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EC2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1FC5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B03"/>
    <w:rsid w:val="00AB4C7A"/>
    <w:rsid w:val="00AB4E47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60F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68F5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1937"/>
    <w:rsid w:val="00E02197"/>
    <w:rsid w:val="00E0283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BE772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5C3D-01BD-4D0D-A6E1-E97D7AB8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730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19</cp:revision>
  <cp:lastPrinted>2021-10-12T13:49:00Z</cp:lastPrinted>
  <dcterms:created xsi:type="dcterms:W3CDTF">2022-01-21T16:31:00Z</dcterms:created>
  <dcterms:modified xsi:type="dcterms:W3CDTF">2022-01-27T20:42:00Z</dcterms:modified>
</cp:coreProperties>
</file>