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4A73E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B3BC4" w:rsidRDefault="00BE458B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7, 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B3BC4" w:rsidRDefault="00BE458B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2870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 w:rsidP="0028708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28708F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28708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342" w:type="dxa"/>
            <w:gridSpan w:val="2"/>
          </w:tcPr>
          <w:p w:rsidR="00084428" w:rsidRPr="005B6540" w:rsidRDefault="002870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340" w:type="dxa"/>
          </w:tcPr>
          <w:p w:rsidR="00084428" w:rsidRPr="005B6540" w:rsidRDefault="000C3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28708F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8D52A4" w:rsidP="00AD633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28708F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8D52A4" w:rsidP="00AD633F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0"/>
                <w:szCs w:val="20"/>
              </w:rPr>
              <w:t xml:space="preserve"> </w:t>
            </w:r>
            <w:r w:rsidR="0028708F"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:rsidR="00084428" w:rsidRPr="005B6540" w:rsidRDefault="0028708F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340" w:type="dxa"/>
          </w:tcPr>
          <w:p w:rsidR="00084428" w:rsidRPr="005B6540" w:rsidRDefault="000C3DC0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A35AD8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 Procedure</w:t>
            </w:r>
          </w:p>
          <w:p w:rsidR="00DC049C" w:rsidRDefault="00BA30CE" w:rsidP="00A037E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BA30CE">
              <w:rPr>
                <w:rFonts w:ascii="Arial" w:hAnsi="Arial"/>
              </w:rPr>
              <w:t>2</w:t>
            </w:r>
            <w:r w:rsidRPr="00BA30CE">
              <w:rPr>
                <w:rFonts w:ascii="Arial" w:hAnsi="Arial"/>
                <w:vertAlign w:val="superscript"/>
              </w:rPr>
              <w:t>nd</w:t>
            </w:r>
            <w:r w:rsidRPr="00BA30CE">
              <w:rPr>
                <w:rFonts w:ascii="Arial" w:hAnsi="Arial"/>
              </w:rPr>
              <w:t xml:space="preserve"> Reading – November President’</w:t>
            </w:r>
            <w:r>
              <w:rPr>
                <w:rFonts w:ascii="Arial" w:hAnsi="Arial"/>
              </w:rPr>
              <w:t>s Staff</w:t>
            </w:r>
          </w:p>
          <w:p w:rsidR="00BA30CE" w:rsidRDefault="00BA30CE" w:rsidP="00BA30C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FC Chair Cox Feedback</w:t>
            </w:r>
          </w:p>
          <w:p w:rsidR="00BA30CE" w:rsidRDefault="00BA30CE" w:rsidP="00BA30CE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FR/FL/BOL Courses Have College Policy Quiz Including Academic Integrity Questions in Course Shells; F2F GB Classes?</w:t>
            </w:r>
          </w:p>
          <w:p w:rsidR="00BA30CE" w:rsidRDefault="00BA30CE" w:rsidP="00BA30CE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Recommend Academic Integrity Module In All Course Shells with Quiz</w:t>
            </w:r>
          </w:p>
          <w:p w:rsidR="00BA30CE" w:rsidRDefault="00BA30CE" w:rsidP="00BA30CE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Courses Without Shells</w:t>
            </w:r>
          </w:p>
          <w:p w:rsidR="00BA30CE" w:rsidRDefault="00BA30CE" w:rsidP="00BA30C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Training </w:t>
            </w:r>
            <w:r w:rsidR="0075102D">
              <w:rPr>
                <w:rFonts w:ascii="Arial" w:hAnsi="Arial"/>
              </w:rPr>
              <w:t>Module</w:t>
            </w:r>
          </w:p>
          <w:p w:rsidR="0075102D" w:rsidRDefault="0075102D" w:rsidP="0075102D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Passive Techniques (Course Design, Quizzes with Large Question Pools, Minimizing Time Allotted for Each Question, Rotating/Replacing Assignments After Each Semester, Etc.)</w:t>
            </w:r>
          </w:p>
          <w:p w:rsidR="0075102D" w:rsidRPr="0075102D" w:rsidRDefault="0075102D" w:rsidP="0075102D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Active Techniques (Software Applications Such as Turnitin, Panapto or Biosig Style Log-In Monitor, Etc.)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Appraisals &amp; Evaluations</w:t>
            </w:r>
          </w:p>
          <w:p w:rsidR="00BF3441" w:rsidRDefault="00BF3441" w:rsidP="00BF3441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FT/PT – November 10</w:t>
            </w:r>
          </w:p>
          <w:p w:rsidR="00B267E2" w:rsidRPr="00B267E2" w:rsidRDefault="00B267E2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 - January 12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Planning</w:t>
            </w:r>
          </w:p>
          <w:p w:rsidR="00F83DDE" w:rsidRPr="00F83DDE" w:rsidRDefault="00F83DDE" w:rsidP="00F83DD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Completed Draft Plans to Me – January 2</w:t>
            </w:r>
          </w:p>
          <w:p w:rsidR="00273327" w:rsidRDefault="00273327" w:rsidP="00F83DD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Review</w:t>
            </w:r>
          </w:p>
          <w:p w:rsidR="00F83DDE" w:rsidRPr="00F83DDE" w:rsidRDefault="00F83DDE" w:rsidP="00F83DD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Reviews Due to Me – January 29</w:t>
            </w:r>
          </w:p>
          <w:p w:rsidR="00273327" w:rsidRDefault="00273327" w:rsidP="001D4ED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Class Minimums –</w:t>
            </w:r>
            <w:r w:rsidR="00F83DDE">
              <w:rPr>
                <w:rFonts w:ascii="Arial" w:hAnsi="Arial"/>
              </w:rPr>
              <w:t xml:space="preserve"> January Start</w:t>
            </w:r>
          </w:p>
          <w:p w:rsidR="00BF3441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Credential Form – Draft</w:t>
            </w:r>
          </w:p>
          <w:p w:rsidR="003A3C37" w:rsidRPr="003A3C37" w:rsidRDefault="003A3C37" w:rsidP="003A3C37">
            <w:pPr>
              <w:numPr>
                <w:ilvl w:val="0"/>
                <w:numId w:val="11"/>
              </w:numPr>
              <w:ind w:left="1410"/>
              <w:rPr>
                <w:rFonts w:ascii="Arial" w:hAnsi="Arial"/>
              </w:rPr>
            </w:pPr>
            <w:r w:rsidRPr="003A3C37">
              <w:rPr>
                <w:rFonts w:ascii="Arial" w:hAnsi="Arial"/>
                <w:color w:val="FF0000"/>
              </w:rPr>
              <w:t>Elaine will update the form</w:t>
            </w:r>
          </w:p>
          <w:p w:rsidR="003A3C37" w:rsidRDefault="003A3C37" w:rsidP="003A3C37">
            <w:pPr>
              <w:numPr>
                <w:ilvl w:val="0"/>
                <w:numId w:val="11"/>
              </w:numPr>
              <w:ind w:left="1410"/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Be sure this completed for go to HR then you make a faculty new hire</w:t>
            </w:r>
          </w:p>
          <w:p w:rsidR="00F83DDE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Development Fees</w:t>
            </w:r>
          </w:p>
          <w:p w:rsidR="00F83DDE" w:rsidRPr="001D4ED7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Plan Updates – Thursday Before Board Meeting</w:t>
            </w:r>
          </w:p>
        </w:tc>
        <w:tc>
          <w:tcPr>
            <w:tcW w:w="234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t>New Discussion Topics</w:t>
            </w:r>
          </w:p>
          <w:p w:rsidR="00967B33" w:rsidRDefault="00967B33" w:rsidP="003B67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Assessment</w:t>
            </w:r>
          </w:p>
          <w:p w:rsidR="00967B33" w:rsidRDefault="00967B33" w:rsidP="00967B3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Approach</w:t>
            </w:r>
          </w:p>
          <w:p w:rsidR="00E424C9" w:rsidRPr="00E424C9" w:rsidRDefault="00E424C9" w:rsidP="00E424C9">
            <w:pPr>
              <w:pStyle w:val="ListParagraph"/>
              <w:numPr>
                <w:ilvl w:val="1"/>
                <w:numId w:val="11"/>
              </w:numPr>
              <w:ind w:left="186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24C9">
              <w:rPr>
                <w:rFonts w:ascii="Arial" w:hAnsi="Arial" w:cs="Arial"/>
                <w:color w:val="FF0000"/>
                <w:sz w:val="24"/>
                <w:szCs w:val="24"/>
              </w:rPr>
              <w:t xml:space="preserve">Jo discussed dividing assessment into committees.  Brian thinks that Dean council representative should be on Outcome Assessment.  Ashley will remain on that committee </w:t>
            </w:r>
          </w:p>
          <w:p w:rsidR="00967B33" w:rsidRDefault="00967B33" w:rsidP="00967B3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Assessment</w:t>
            </w:r>
          </w:p>
          <w:p w:rsidR="00967B33" w:rsidRDefault="00967B33" w:rsidP="00967B3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Service vs. Reports at Dean’s Council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Hunt Groups – Office Areas</w:t>
            </w:r>
          </w:p>
          <w:p w:rsidR="003A3C37" w:rsidRPr="003A3C37" w:rsidRDefault="003A3C37" w:rsidP="003A3C37">
            <w:pPr>
              <w:pStyle w:val="ListParagraph"/>
              <w:numPr>
                <w:ilvl w:val="0"/>
                <w:numId w:val="11"/>
              </w:numPr>
              <w:ind w:left="15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3C37">
              <w:rPr>
                <w:rFonts w:ascii="Arial" w:hAnsi="Arial" w:cs="Arial"/>
                <w:color w:val="FF0000"/>
                <w:sz w:val="24"/>
                <w:szCs w:val="24"/>
              </w:rPr>
              <w:t>Elaine talked to the council about coverage for their phones.  Contact IT (Orlando) to get them set up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Faculty Forums</w:t>
            </w:r>
          </w:p>
          <w:p w:rsidR="006F21D2" w:rsidRDefault="006F21D2" w:rsidP="006F21D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Integrity</w:t>
            </w:r>
          </w:p>
          <w:p w:rsidR="006F21D2" w:rsidRDefault="006F21D2" w:rsidP="006F21D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Schedule Transition</w:t>
            </w:r>
          </w:p>
          <w:p w:rsidR="00E424C9" w:rsidRPr="00E424C9" w:rsidRDefault="00E424C9" w:rsidP="00E424C9">
            <w:pPr>
              <w:pStyle w:val="ListParagraph"/>
              <w:numPr>
                <w:ilvl w:val="1"/>
                <w:numId w:val="11"/>
              </w:numPr>
              <w:ind w:left="195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24C9">
              <w:rPr>
                <w:rFonts w:ascii="Arial" w:hAnsi="Arial" w:cs="Arial"/>
                <w:color w:val="FF0000"/>
                <w:sz w:val="24"/>
                <w:szCs w:val="24"/>
              </w:rPr>
              <w:t>Discussion will be via email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Professional Conference Days (Academic Integrity)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Kit Video – Review Process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F21D2">
              <w:rPr>
                <w:rFonts w:ascii="Arial" w:hAnsi="Arial" w:cs="Arial"/>
                <w:sz w:val="24"/>
                <w:szCs w:val="24"/>
              </w:rPr>
              <w:t>Holiday Planni</w:t>
            </w:r>
            <w:r w:rsidR="00781752">
              <w:rPr>
                <w:rFonts w:ascii="Arial" w:hAnsi="Arial" w:cs="Arial"/>
                <w:sz w:val="24"/>
                <w:szCs w:val="24"/>
              </w:rPr>
              <w:t>ng – IT (email to Michelle, Rene</w:t>
            </w:r>
            <w:r w:rsidRPr="006F21D2">
              <w:rPr>
                <w:rFonts w:ascii="Arial" w:hAnsi="Arial" w:cs="Arial"/>
                <w:sz w:val="24"/>
                <w:szCs w:val="24"/>
              </w:rPr>
              <w:t>e and Amy)</w:t>
            </w:r>
          </w:p>
          <w:p w:rsidR="00E424C9" w:rsidRPr="00E424C9" w:rsidRDefault="00E424C9" w:rsidP="00E424C9">
            <w:pPr>
              <w:pStyle w:val="ListParagraph"/>
              <w:numPr>
                <w:ilvl w:val="0"/>
                <w:numId w:val="11"/>
              </w:numPr>
              <w:ind w:left="141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424C9">
              <w:rPr>
                <w:rFonts w:ascii="Arial" w:hAnsi="Arial" w:cs="Arial"/>
                <w:color w:val="FF0000"/>
                <w:sz w:val="24"/>
                <w:szCs w:val="24"/>
              </w:rPr>
              <w:t>During th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 holiday breaks, if there is a</w:t>
            </w:r>
            <w:r w:rsidRPr="00E424C9">
              <w:rPr>
                <w:rFonts w:ascii="Arial" w:hAnsi="Arial" w:cs="Arial"/>
                <w:color w:val="FF0000"/>
                <w:sz w:val="24"/>
                <w:szCs w:val="24"/>
              </w:rPr>
              <w:t xml:space="preserve"> tech need or crisis, write an email and include Michelle, Renee and Amy in the “to” line…then be patient.  They will monitor email over break. </w:t>
            </w:r>
          </w:p>
          <w:p w:rsidR="00781752" w:rsidRDefault="006F21D2" w:rsidP="00781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F21D2">
              <w:rPr>
                <w:rFonts w:ascii="Arial" w:hAnsi="Arial" w:cs="Arial"/>
                <w:sz w:val="24"/>
                <w:szCs w:val="24"/>
              </w:rPr>
              <w:t>Adjunct Faculty Email Addresses (security concerns)</w:t>
            </w:r>
          </w:p>
          <w:p w:rsidR="00104FEB" w:rsidRPr="00104FEB" w:rsidRDefault="00104FEB" w:rsidP="004A73E2">
            <w:pPr>
              <w:pStyle w:val="ListParagraph"/>
              <w:numPr>
                <w:ilvl w:val="0"/>
                <w:numId w:val="11"/>
              </w:numPr>
              <w:ind w:left="141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4FEB">
              <w:rPr>
                <w:rFonts w:ascii="Arial" w:hAnsi="Arial" w:cs="Arial"/>
                <w:color w:val="FF0000"/>
                <w:sz w:val="24"/>
                <w:szCs w:val="24"/>
              </w:rPr>
              <w:t>Michelle told Elaine a security training is forth coming</w:t>
            </w:r>
          </w:p>
          <w:p w:rsidR="00104FEB" w:rsidRPr="00781752" w:rsidRDefault="00104FEB" w:rsidP="004A73E2">
            <w:pPr>
              <w:pStyle w:val="ListParagraph"/>
              <w:numPr>
                <w:ilvl w:val="0"/>
                <w:numId w:val="11"/>
              </w:numPr>
              <w:ind w:left="1410"/>
              <w:rPr>
                <w:rFonts w:ascii="Arial" w:hAnsi="Arial" w:cs="Arial"/>
                <w:sz w:val="24"/>
                <w:szCs w:val="24"/>
              </w:rPr>
            </w:pPr>
            <w:r w:rsidRPr="004A73E2">
              <w:rPr>
                <w:rFonts w:ascii="Arial" w:hAnsi="Arial" w:cs="Arial"/>
                <w:color w:val="FF0000"/>
                <w:sz w:val="24"/>
                <w:szCs w:val="24"/>
              </w:rPr>
              <w:t>There are many faculty that do not have Barton email addresses, Mi</w:t>
            </w:r>
            <w:r w:rsidRPr="00104FEB">
              <w:rPr>
                <w:rFonts w:ascii="Arial" w:hAnsi="Arial" w:cs="Arial"/>
                <w:color w:val="FF0000"/>
                <w:sz w:val="24"/>
                <w:szCs w:val="24"/>
              </w:rPr>
              <w:t xml:space="preserve">chelle </w:t>
            </w:r>
            <w:r w:rsidRPr="004A73E2">
              <w:rPr>
                <w:rFonts w:ascii="Arial" w:hAnsi="Arial" w:cs="Arial"/>
                <w:color w:val="FF0000"/>
                <w:sz w:val="24"/>
                <w:szCs w:val="24"/>
              </w:rPr>
              <w:t>plans to speak to the president on this topic</w:t>
            </w:r>
          </w:p>
          <w:p w:rsidR="006F21D2" w:rsidRP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F21D2">
              <w:rPr>
                <w:rFonts w:ascii="Arial" w:hAnsi="Arial" w:cs="Arial"/>
                <w:sz w:val="24"/>
                <w:szCs w:val="24"/>
              </w:rPr>
              <w:t>Student Ambassador’s Chat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 Procedure – Grade &amp; Attendance</w:t>
            </w:r>
          </w:p>
          <w:p w:rsidR="00781752" w:rsidRPr="00781752" w:rsidRDefault="006F21D2" w:rsidP="0078175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 Input</w:t>
            </w:r>
          </w:p>
        </w:tc>
        <w:tc>
          <w:tcPr>
            <w:tcW w:w="2340" w:type="dxa"/>
            <w:shd w:val="clear" w:color="auto" w:fill="auto"/>
          </w:tcPr>
          <w:p w:rsidR="00457EFD" w:rsidRPr="00BF3441" w:rsidRDefault="009E3B4C" w:rsidP="006240A2">
            <w:pPr>
              <w:jc w:val="center"/>
              <w:rPr>
                <w:rFonts w:ascii="Arial" w:hAnsi="Arial"/>
              </w:rPr>
            </w:pPr>
            <w:r w:rsidRPr="00BF3441">
              <w:rPr>
                <w:rFonts w:ascii="Arial" w:hAnsi="Arial"/>
              </w:rPr>
              <w:lastRenderedPageBreak/>
              <w:t>Elaine</w:t>
            </w:r>
          </w:p>
        </w:tc>
      </w:tr>
      <w:tr w:rsidR="00973DE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1D7B50" w:rsidRDefault="00BF3441" w:rsidP="00BF34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 Items</w:t>
            </w:r>
          </w:p>
          <w:p w:rsidR="0028708F" w:rsidRPr="00FB3675" w:rsidRDefault="0028708F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B3675">
              <w:rPr>
                <w:rFonts w:ascii="Arial" w:hAnsi="Arial"/>
                <w:color w:val="FF0000"/>
                <w:sz w:val="24"/>
                <w:szCs w:val="24"/>
              </w:rPr>
              <w:t>Elaine will update the faculty credential form and review the exception form</w:t>
            </w:r>
          </w:p>
          <w:p w:rsidR="00FB3675" w:rsidRDefault="00FB3675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B3675">
              <w:rPr>
                <w:rFonts w:ascii="Arial" w:hAnsi="Arial"/>
                <w:color w:val="FF0000"/>
                <w:sz w:val="24"/>
                <w:szCs w:val="24"/>
              </w:rPr>
              <w:t>Ask HR to add the Faculty Credential Form comple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tion to</w:t>
            </w:r>
            <w:r w:rsidRPr="00FB3675">
              <w:rPr>
                <w:rFonts w:ascii="Arial" w:hAnsi="Arial"/>
                <w:color w:val="FF0000"/>
                <w:sz w:val="24"/>
                <w:szCs w:val="24"/>
              </w:rPr>
              <w:t xml:space="preserve"> the faculty new hire checklist</w:t>
            </w:r>
          </w:p>
          <w:p w:rsidR="00FB3675" w:rsidRDefault="00FB3675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Invite Jo Harrington to a Deans meeting</w:t>
            </w:r>
          </w:p>
          <w:p w:rsidR="00781752" w:rsidRPr="00FB3675" w:rsidRDefault="00781752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Elaine will write faculty council, we have been requested to look at 2511 Procedure by the Registrar, would you like to comment on the policy and she will give them a deadline. </w:t>
            </w:r>
          </w:p>
          <w:p w:rsidR="00FB3675" w:rsidRDefault="00FB3675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Claudia will share the college policy </w:t>
            </w:r>
            <w:r w:rsidR="00781752">
              <w:rPr>
                <w:rFonts w:ascii="Arial" w:hAnsi="Arial"/>
                <w:color w:val="FF0000"/>
                <w:sz w:val="24"/>
                <w:szCs w:val="24"/>
              </w:rPr>
              <w:t xml:space="preserve">quiz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with the group and return this item to the agenda for next month</w:t>
            </w:r>
          </w:p>
          <w:p w:rsidR="0028708F" w:rsidRPr="00FB3675" w:rsidRDefault="0028708F" w:rsidP="0028708F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B3675">
              <w:rPr>
                <w:rFonts w:ascii="Arial" w:hAnsi="Arial"/>
                <w:color w:val="FF0000"/>
                <w:sz w:val="24"/>
                <w:szCs w:val="24"/>
              </w:rPr>
              <w:t>Claudia work on the definition of course development from her perspective.  The council will review the material and feed Claudia information.  Any faculty member that was promised paym</w:t>
            </w:r>
            <w:r w:rsidR="00FB3675">
              <w:rPr>
                <w:rFonts w:ascii="Arial" w:hAnsi="Arial"/>
                <w:color w:val="FF0000"/>
                <w:sz w:val="24"/>
                <w:szCs w:val="24"/>
              </w:rPr>
              <w:t>ent will receive the payment, n</w:t>
            </w:r>
            <w:r w:rsidRPr="00FB3675">
              <w:rPr>
                <w:rFonts w:ascii="Arial" w:hAnsi="Arial"/>
                <w:color w:val="FF0000"/>
                <w:sz w:val="24"/>
                <w:szCs w:val="24"/>
              </w:rPr>
              <w:t>ew faculty m</w:t>
            </w:r>
            <w:r w:rsidR="00C139D6">
              <w:rPr>
                <w:rFonts w:ascii="Arial" w:hAnsi="Arial"/>
                <w:color w:val="FF0000"/>
                <w:sz w:val="24"/>
                <w:szCs w:val="24"/>
              </w:rPr>
              <w:t>embers will not be promised payment</w:t>
            </w:r>
            <w:bookmarkStart w:id="0" w:name="_GoBack"/>
            <w:bookmarkEnd w:id="0"/>
            <w:r w:rsidRPr="00FB3675">
              <w:rPr>
                <w:rFonts w:ascii="Arial" w:hAnsi="Arial"/>
                <w:color w:val="FF0000"/>
                <w:sz w:val="24"/>
                <w:szCs w:val="24"/>
              </w:rPr>
              <w:t xml:space="preserve">. </w:t>
            </w:r>
          </w:p>
          <w:p w:rsidR="00781752" w:rsidRPr="00067203" w:rsidRDefault="00067203" w:rsidP="00067203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There was a lot discussion about payment for online course creation compared to F2F.  </w:t>
            </w:r>
            <w:r w:rsidR="0028708F" w:rsidRPr="00FB3675">
              <w:rPr>
                <w:rFonts w:ascii="Arial" w:hAnsi="Arial"/>
                <w:color w:val="FF0000"/>
                <w:sz w:val="24"/>
                <w:szCs w:val="24"/>
              </w:rPr>
              <w:t>Claudia will bring more information on the payment for classes</w:t>
            </w:r>
          </w:p>
        </w:tc>
        <w:tc>
          <w:tcPr>
            <w:tcW w:w="2340" w:type="dxa"/>
            <w:shd w:val="clear" w:color="auto" w:fill="auto"/>
          </w:tcPr>
          <w:p w:rsidR="003A3C37" w:rsidRPr="00FB3675" w:rsidRDefault="003A3C37" w:rsidP="00FB3675">
            <w:pPr>
              <w:rPr>
                <w:rFonts w:ascii="Arial" w:hAnsi="Arial"/>
                <w:color w:val="FF0000"/>
              </w:rPr>
            </w:pPr>
          </w:p>
          <w:p w:rsidR="0028708F" w:rsidRPr="00FB3675" w:rsidRDefault="0028708F" w:rsidP="003A3C37">
            <w:pPr>
              <w:jc w:val="center"/>
              <w:rPr>
                <w:rFonts w:ascii="Arial" w:hAnsi="Arial"/>
                <w:color w:val="FF0000"/>
              </w:rPr>
            </w:pPr>
            <w:r w:rsidRPr="00FB3675">
              <w:rPr>
                <w:rFonts w:ascii="Arial" w:hAnsi="Arial"/>
                <w:color w:val="FF0000"/>
              </w:rPr>
              <w:t>Elaine</w:t>
            </w:r>
          </w:p>
          <w:p w:rsidR="0028708F" w:rsidRPr="00FB3675" w:rsidRDefault="0028708F" w:rsidP="003A3C37">
            <w:pPr>
              <w:rPr>
                <w:rFonts w:ascii="Arial" w:hAnsi="Arial"/>
                <w:color w:val="FF0000"/>
              </w:rPr>
            </w:pPr>
          </w:p>
          <w:p w:rsidR="0028708F" w:rsidRPr="00FB3675" w:rsidRDefault="00FB3675" w:rsidP="00973DEE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Elaine</w:t>
            </w:r>
          </w:p>
          <w:p w:rsidR="0028708F" w:rsidRPr="00FB3675" w:rsidRDefault="0028708F" w:rsidP="00973DEE">
            <w:pPr>
              <w:jc w:val="center"/>
              <w:rPr>
                <w:rFonts w:ascii="Arial" w:hAnsi="Arial"/>
                <w:color w:val="FF0000"/>
              </w:rPr>
            </w:pPr>
          </w:p>
          <w:p w:rsidR="00FB3675" w:rsidRDefault="00FB3675" w:rsidP="00973DEE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Elaine</w:t>
            </w:r>
          </w:p>
          <w:p w:rsidR="00781752" w:rsidRDefault="00781752" w:rsidP="00973DEE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Elaine</w:t>
            </w:r>
          </w:p>
          <w:p w:rsidR="00781752" w:rsidRDefault="00781752" w:rsidP="00973DEE">
            <w:pPr>
              <w:jc w:val="center"/>
              <w:rPr>
                <w:rFonts w:ascii="Arial" w:hAnsi="Arial"/>
                <w:color w:val="FF0000"/>
              </w:rPr>
            </w:pPr>
          </w:p>
          <w:p w:rsidR="00781752" w:rsidRDefault="00781752" w:rsidP="00973DEE">
            <w:pPr>
              <w:jc w:val="center"/>
              <w:rPr>
                <w:rFonts w:ascii="Arial" w:hAnsi="Arial"/>
                <w:color w:val="FF0000"/>
              </w:rPr>
            </w:pPr>
          </w:p>
          <w:p w:rsidR="0028708F" w:rsidRPr="00FB3675" w:rsidRDefault="0028708F" w:rsidP="00973DEE">
            <w:pPr>
              <w:jc w:val="center"/>
              <w:rPr>
                <w:rFonts w:ascii="Arial" w:hAnsi="Arial"/>
                <w:color w:val="FF0000"/>
              </w:rPr>
            </w:pPr>
            <w:r w:rsidRPr="00FB3675">
              <w:rPr>
                <w:rFonts w:ascii="Arial" w:hAnsi="Arial"/>
                <w:color w:val="FF0000"/>
              </w:rPr>
              <w:t>Claudia</w:t>
            </w:r>
          </w:p>
          <w:p w:rsidR="00FB3675" w:rsidRDefault="00FB3675" w:rsidP="00FB3675">
            <w:pPr>
              <w:rPr>
                <w:rFonts w:ascii="Arial" w:hAnsi="Arial"/>
                <w:color w:val="FF0000"/>
              </w:rPr>
            </w:pPr>
          </w:p>
          <w:p w:rsidR="00FB3675" w:rsidRDefault="00FB3675" w:rsidP="00973DEE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Claudia</w:t>
            </w:r>
          </w:p>
          <w:p w:rsidR="00FB3675" w:rsidRDefault="00FB3675" w:rsidP="00973DEE">
            <w:pPr>
              <w:jc w:val="center"/>
              <w:rPr>
                <w:rFonts w:asciiTheme="minorHAnsi" w:hAnsiTheme="minorHAnsi" w:cstheme="minorHAnsi"/>
              </w:rPr>
            </w:pPr>
          </w:p>
          <w:p w:rsidR="00FB3675" w:rsidRDefault="00FB3675" w:rsidP="00973DEE">
            <w:pPr>
              <w:jc w:val="center"/>
              <w:rPr>
                <w:rFonts w:asciiTheme="minorHAnsi" w:hAnsiTheme="minorHAnsi" w:cstheme="minorHAnsi"/>
              </w:rPr>
            </w:pPr>
          </w:p>
          <w:p w:rsidR="00FB3675" w:rsidRDefault="00FB3675" w:rsidP="00973DEE">
            <w:pPr>
              <w:jc w:val="center"/>
              <w:rPr>
                <w:rFonts w:asciiTheme="minorHAnsi" w:hAnsiTheme="minorHAnsi" w:cstheme="minorHAnsi"/>
              </w:rPr>
            </w:pPr>
          </w:p>
          <w:p w:rsidR="00FB3675" w:rsidRPr="00FB3675" w:rsidRDefault="00FB3675" w:rsidP="00973DEE">
            <w:pPr>
              <w:jc w:val="center"/>
              <w:rPr>
                <w:rFonts w:ascii="Arial" w:hAnsi="Arial"/>
              </w:rPr>
            </w:pPr>
            <w:r w:rsidRPr="00FB3675">
              <w:rPr>
                <w:rFonts w:ascii="Arial" w:hAnsi="Arial"/>
                <w:color w:val="FF0000"/>
              </w:rPr>
              <w:t>Claudia</w:t>
            </w:r>
          </w:p>
        </w:tc>
      </w:tr>
    </w:tbl>
    <w:p w:rsidR="00505EAD" w:rsidRPr="00F849A1" w:rsidRDefault="00505EAD" w:rsidP="00BF3441">
      <w:pPr>
        <w:ind w:left="450"/>
        <w:rPr>
          <w:rFonts w:ascii="Arial" w:hAnsi="Arial"/>
          <w:b/>
          <w:bCs/>
        </w:rPr>
      </w:pPr>
    </w:p>
    <w:sectPr w:rsidR="00505E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3C" w:rsidRDefault="00FB633C" w:rsidP="00F24EDF">
      <w:r>
        <w:separator/>
      </w:r>
    </w:p>
  </w:endnote>
  <w:endnote w:type="continuationSeparator" w:id="0">
    <w:p w:rsidR="00FB633C" w:rsidRDefault="00FB633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3C" w:rsidRDefault="00FB633C" w:rsidP="00F24EDF">
      <w:r>
        <w:separator/>
      </w:r>
    </w:p>
  </w:footnote>
  <w:footnote w:type="continuationSeparator" w:id="0">
    <w:p w:rsidR="00FB633C" w:rsidRDefault="00FB633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E0B46"/>
    <w:multiLevelType w:val="hybridMultilevel"/>
    <w:tmpl w:val="4DE22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21"/>
  </w:num>
  <w:num w:numId="20">
    <w:abstractNumId w:val="15"/>
  </w:num>
  <w:num w:numId="21">
    <w:abstractNumId w:val="19"/>
  </w:num>
  <w:num w:numId="22">
    <w:abstractNumId w:val="6"/>
  </w:num>
  <w:num w:numId="23">
    <w:abstractNumId w:val="13"/>
  </w:num>
  <w:num w:numId="24">
    <w:abstractNumId w:val="20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27866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638"/>
    <w:rsid w:val="0006481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15EF"/>
    <w:rsid w:val="000929E0"/>
    <w:rsid w:val="000931F9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64E"/>
    <w:rsid w:val="000C3CFD"/>
    <w:rsid w:val="000C3DC0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61A5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327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34CA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7DB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3E2"/>
    <w:rsid w:val="004A7A3E"/>
    <w:rsid w:val="004B2559"/>
    <w:rsid w:val="004B32EB"/>
    <w:rsid w:val="004B385E"/>
    <w:rsid w:val="004B7046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2E0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1D2"/>
    <w:rsid w:val="006F29BD"/>
    <w:rsid w:val="006F3B15"/>
    <w:rsid w:val="006F7638"/>
    <w:rsid w:val="007009E1"/>
    <w:rsid w:val="007013D5"/>
    <w:rsid w:val="0070325C"/>
    <w:rsid w:val="00703A88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C7047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AD8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4E0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3DDE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833"/>
    <w:rsid w:val="00FC0DB5"/>
    <w:rsid w:val="00FC0F2E"/>
    <w:rsid w:val="00FC1875"/>
    <w:rsid w:val="00FC2437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CA82D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D8E7-30C7-44A7-8BDB-86BDCC6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</cp:revision>
  <cp:lastPrinted>2017-11-07T13:07:00Z</cp:lastPrinted>
  <dcterms:created xsi:type="dcterms:W3CDTF">2017-11-08T14:59:00Z</dcterms:created>
  <dcterms:modified xsi:type="dcterms:W3CDTF">2017-11-08T16:37:00Z</dcterms:modified>
</cp:coreProperties>
</file>