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8804"/>
      </w:tblGrid>
      <w:tr w:rsidR="007838E7" w:rsidRPr="005B6540" w:rsidTr="006B0144">
        <w:tc>
          <w:tcPr>
            <w:tcW w:w="10908" w:type="dxa"/>
            <w:gridSpan w:val="2"/>
            <w:shd w:val="clear" w:color="auto" w:fill="FBD4B4" w:themeFill="accent6" w:themeFillTint="66"/>
          </w:tcPr>
          <w:p w:rsidR="007838E7" w:rsidRPr="005B6540" w:rsidRDefault="00741E50" w:rsidP="000D1232">
            <w:pPr>
              <w:jc w:val="center"/>
            </w:pPr>
            <w:r>
              <w:t xml:space="preserve"> </w:t>
            </w:r>
            <w:r w:rsidR="00BE68B1" w:rsidRPr="005B6540">
              <w:t>AGENDA/MINUT</w:t>
            </w:r>
            <w:r w:rsidR="007838E7" w:rsidRPr="005B6540">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5B6540" w:rsidRDefault="001E513E">
            <w:pPr>
              <w:rPr>
                <w:rFonts w:asciiTheme="minorHAnsi" w:hAnsiTheme="minorHAnsi" w:cstheme="minorHAnsi"/>
              </w:rPr>
            </w:pPr>
            <w:r w:rsidRPr="005B6540">
              <w:rPr>
                <w:rFonts w:asciiTheme="minorHAnsi" w:hAnsiTheme="minorHAnsi" w:cstheme="minorHAnsi"/>
              </w:rPr>
              <w:t>Dean</w:t>
            </w:r>
            <w:r w:rsidR="00301D6E" w:rsidRPr="005B6540">
              <w:rPr>
                <w:rFonts w:asciiTheme="minorHAnsi" w:hAnsiTheme="minorHAnsi" w:cstheme="minorHAnsi"/>
              </w:rPr>
              <w:t>s</w:t>
            </w:r>
            <w:r w:rsidR="00B414F2" w:rsidRPr="005B6540">
              <w:rPr>
                <w:rFonts w:asciiTheme="minorHAnsi" w:hAnsiTheme="minorHAnsi" w:cstheme="minorHAnsi"/>
              </w:rPr>
              <w:t>’</w:t>
            </w:r>
            <w:r w:rsidR="004506C0" w:rsidRPr="005B6540">
              <w:rPr>
                <w:rFonts w:asciiTheme="minorHAnsi" w:hAnsiTheme="minorHAnsi" w:cstheme="minorHAnsi"/>
              </w:rPr>
              <w:t xml:space="preserve"> Meeting</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5B6540" w:rsidRDefault="00635F3A" w:rsidP="00850BDB">
            <w:pPr>
              <w:rPr>
                <w:rFonts w:asciiTheme="minorHAnsi" w:hAnsiTheme="minorHAnsi" w:cstheme="minorHAnsi"/>
              </w:rPr>
            </w:pPr>
            <w:r>
              <w:rPr>
                <w:rFonts w:asciiTheme="minorHAnsi" w:hAnsiTheme="minorHAnsi" w:cstheme="minorHAnsi"/>
              </w:rPr>
              <w:t>April 27</w:t>
            </w:r>
            <w:r w:rsidR="00F63B12">
              <w:rPr>
                <w:rFonts w:asciiTheme="minorHAnsi" w:hAnsiTheme="minorHAnsi" w:cstheme="minorHAnsi"/>
              </w:rPr>
              <w:t>, 2016</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E11B32" w:rsidRDefault="00F63B12" w:rsidP="00B51504">
            <w:pPr>
              <w:rPr>
                <w:rFonts w:asciiTheme="minorHAnsi" w:hAnsiTheme="minorHAnsi" w:cstheme="minorHAnsi"/>
              </w:rPr>
            </w:pPr>
            <w:r>
              <w:rPr>
                <w:rFonts w:asciiTheme="minorHAnsi" w:hAnsiTheme="minorHAnsi" w:cstheme="minorHAnsi"/>
              </w:rPr>
              <w:t>2:00 – 3:30 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5B6540" w:rsidRDefault="007838E7" w:rsidP="0089676B">
            <w:pPr>
              <w:rPr>
                <w:rFonts w:asciiTheme="minorHAnsi" w:hAnsiTheme="minorHAnsi" w:cstheme="minorHAnsi"/>
              </w:rPr>
            </w:pPr>
            <w:r w:rsidRPr="005B6540">
              <w:rPr>
                <w:rFonts w:asciiTheme="minorHAnsi" w:hAnsiTheme="minorHAnsi" w:cstheme="minorHAnsi"/>
              </w:rPr>
              <w:t>A-113/</w:t>
            </w:r>
            <w:r w:rsidR="001A0C66" w:rsidRPr="005B6540">
              <w:rPr>
                <w:rFonts w:asciiTheme="minorHAnsi" w:hAnsiTheme="minorHAnsi" w:cstheme="minorHAnsi"/>
              </w:rPr>
              <w:t xml:space="preserve">GoToMeeting </w:t>
            </w:r>
          </w:p>
        </w:tc>
      </w:tr>
    </w:tbl>
    <w:p w:rsidR="007838E7" w:rsidRPr="005B6540" w:rsidRDefault="007838E7">
      <w:pPr>
        <w:rPr>
          <w:rFonts w:asciiTheme="minorHAnsi" w:hAnsiTheme="minorHAnsi" w:cstheme="minorHAnsi"/>
          <w:szCs w:val="22"/>
        </w:rPr>
      </w:pPr>
    </w:p>
    <w:tbl>
      <w:tblPr>
        <w:tblW w:w="10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61"/>
        <w:gridCol w:w="2438"/>
        <w:gridCol w:w="361"/>
        <w:gridCol w:w="722"/>
        <w:gridCol w:w="1354"/>
        <w:gridCol w:w="272"/>
        <w:gridCol w:w="361"/>
        <w:gridCol w:w="2257"/>
      </w:tblGrid>
      <w:tr w:rsidR="007838E7" w:rsidRPr="005B6540" w:rsidTr="00E838FF">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07" w:type="dxa"/>
            <w:gridSpan w:val="5"/>
          </w:tcPr>
          <w:p w:rsidR="007838E7" w:rsidRPr="005B6540" w:rsidRDefault="00850044" w:rsidP="00137905">
            <w:pPr>
              <w:rPr>
                <w:rFonts w:asciiTheme="minorHAnsi" w:hAnsiTheme="minorHAnsi" w:cstheme="minorHAnsi"/>
              </w:rPr>
            </w:pPr>
            <w:r>
              <w:rPr>
                <w:rFonts w:asciiTheme="minorHAnsi" w:hAnsiTheme="minorHAnsi" w:cstheme="minorHAnsi"/>
                <w:szCs w:val="22"/>
              </w:rPr>
              <w:t xml:space="preserve">Dr. </w:t>
            </w:r>
            <w:r w:rsidR="00137905">
              <w:rPr>
                <w:rFonts w:asciiTheme="minorHAnsi" w:hAnsiTheme="minorHAnsi" w:cstheme="minorHAnsi"/>
                <w:szCs w:val="22"/>
              </w:rPr>
              <w:t>Garrett</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890" w:type="dxa"/>
            <w:gridSpan w:val="3"/>
          </w:tcPr>
          <w:p w:rsidR="007838E7" w:rsidRPr="005B6540" w:rsidRDefault="00C7184F" w:rsidP="00964985">
            <w:pPr>
              <w:jc w:val="center"/>
              <w:rPr>
                <w:rFonts w:asciiTheme="minorHAnsi" w:hAnsiTheme="minorHAnsi" w:cstheme="minorHAnsi"/>
              </w:rPr>
            </w:pPr>
            <w:r>
              <w:rPr>
                <w:rFonts w:asciiTheme="minorHAnsi" w:hAnsiTheme="minorHAnsi" w:cstheme="minorHAnsi"/>
                <w:szCs w:val="22"/>
              </w:rPr>
              <w:t>Rayna Engel</w:t>
            </w:r>
          </w:p>
        </w:tc>
      </w:tr>
      <w:tr w:rsidR="00684D51" w:rsidRPr="005B6540" w:rsidTr="00AE2579">
        <w:trPr>
          <w:trHeight w:val="462"/>
        </w:trPr>
        <w:tc>
          <w:tcPr>
            <w:tcW w:w="832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18" w:type="dxa"/>
            <w:gridSpan w:val="2"/>
            <w:shd w:val="clear" w:color="auto" w:fill="FBD4B4" w:themeFill="accent6" w:themeFillTint="66"/>
          </w:tcPr>
          <w:p w:rsidR="00684D51" w:rsidRPr="00684D51" w:rsidRDefault="00684D51">
            <w:pPr>
              <w:rPr>
                <w:rFonts w:asciiTheme="minorHAnsi" w:hAnsiTheme="minorHAnsi" w:cstheme="minorHAnsi"/>
                <w:sz w:val="20"/>
                <w:szCs w:val="20"/>
              </w:rPr>
            </w:pPr>
            <w:r w:rsidRPr="00684D51">
              <w:rPr>
                <w:rFonts w:asciiTheme="minorHAnsi" w:hAnsiTheme="minorHAnsi" w:cstheme="minorHAnsi"/>
                <w:sz w:val="20"/>
                <w:szCs w:val="20"/>
              </w:rPr>
              <w:t>Present  X</w:t>
            </w:r>
          </w:p>
          <w:p w:rsidR="00684D51" w:rsidRPr="005B6540" w:rsidRDefault="00684D51">
            <w:pPr>
              <w:rPr>
                <w:rFonts w:asciiTheme="minorHAnsi" w:hAnsiTheme="minorHAnsi" w:cstheme="minorHAnsi"/>
              </w:rPr>
            </w:pPr>
            <w:r w:rsidRPr="00684D51">
              <w:rPr>
                <w:rFonts w:asciiTheme="minorHAnsi" w:hAnsiTheme="minorHAnsi" w:cstheme="minorHAnsi"/>
                <w:sz w:val="20"/>
                <w:szCs w:val="20"/>
              </w:rPr>
              <w:t>Absent   O</w:t>
            </w:r>
          </w:p>
        </w:tc>
      </w:tr>
      <w:tr w:rsidR="00084428" w:rsidRPr="005B6540" w:rsidTr="00E838FF">
        <w:trPr>
          <w:trHeight w:val="270"/>
        </w:trPr>
        <w:tc>
          <w:tcPr>
            <w:tcW w:w="379" w:type="dxa"/>
          </w:tcPr>
          <w:p w:rsidR="00084428" w:rsidRPr="005B6540" w:rsidRDefault="002946EC">
            <w:pPr>
              <w:rPr>
                <w:rFonts w:asciiTheme="minorHAnsi" w:hAnsiTheme="minorHAnsi" w:cstheme="minorHAnsi"/>
              </w:rPr>
            </w:pPr>
            <w:r>
              <w:rPr>
                <w:rFonts w:asciiTheme="minorHAnsi" w:hAnsiTheme="minorHAnsi" w:cstheme="minorHAnsi"/>
              </w:rPr>
              <w:t>X</w:t>
            </w:r>
          </w:p>
        </w:tc>
        <w:tc>
          <w:tcPr>
            <w:tcW w:w="2438" w:type="dxa"/>
            <w:gridSpan w:val="2"/>
          </w:tcPr>
          <w:p w:rsidR="00084428" w:rsidRPr="005B6540" w:rsidRDefault="00084428" w:rsidP="004D76AB">
            <w:pPr>
              <w:rPr>
                <w:rFonts w:asciiTheme="minorHAnsi" w:hAnsiTheme="minorHAnsi" w:cstheme="minorHAnsi"/>
              </w:rPr>
            </w:pPr>
            <w:r w:rsidRPr="005B6540">
              <w:rPr>
                <w:rFonts w:asciiTheme="minorHAnsi" w:hAnsiTheme="minorHAnsi" w:cstheme="minorHAnsi"/>
                <w:sz w:val="22"/>
                <w:szCs w:val="22"/>
              </w:rPr>
              <w:t>Richard Abel</w:t>
            </w:r>
          </w:p>
        </w:tc>
        <w:tc>
          <w:tcPr>
            <w:tcW w:w="361" w:type="dxa"/>
          </w:tcPr>
          <w:p w:rsidR="00084428" w:rsidRPr="005B6540" w:rsidRDefault="002946EC">
            <w:pPr>
              <w:rPr>
                <w:rFonts w:asciiTheme="minorHAnsi" w:hAnsiTheme="minorHAnsi" w:cstheme="minorHAnsi"/>
              </w:rPr>
            </w:pPr>
            <w:r>
              <w:rPr>
                <w:rFonts w:asciiTheme="minorHAnsi" w:hAnsiTheme="minorHAnsi" w:cstheme="minorHAnsi"/>
              </w:rPr>
              <w:t>X</w:t>
            </w:r>
          </w:p>
        </w:tc>
        <w:tc>
          <w:tcPr>
            <w:tcW w:w="2438" w:type="dxa"/>
          </w:tcPr>
          <w:p w:rsidR="00084428" w:rsidRPr="005B6540" w:rsidRDefault="00084428" w:rsidP="004D76AB">
            <w:pPr>
              <w:rPr>
                <w:rFonts w:asciiTheme="minorHAnsi" w:hAnsiTheme="minorHAnsi" w:cstheme="minorHAnsi"/>
              </w:rPr>
            </w:pPr>
            <w:r w:rsidRPr="005B6540">
              <w:rPr>
                <w:rFonts w:asciiTheme="minorHAnsi" w:hAnsiTheme="minorHAnsi" w:cstheme="minorHAnsi"/>
                <w:sz w:val="22"/>
                <w:szCs w:val="22"/>
              </w:rPr>
              <w:t>Elaine Simmons</w:t>
            </w:r>
          </w:p>
        </w:tc>
        <w:tc>
          <w:tcPr>
            <w:tcW w:w="361" w:type="dxa"/>
          </w:tcPr>
          <w:p w:rsidR="00084428" w:rsidRPr="005B6540" w:rsidRDefault="002946EC">
            <w:pPr>
              <w:rPr>
                <w:rFonts w:asciiTheme="minorHAnsi" w:hAnsiTheme="minorHAnsi" w:cstheme="minorHAnsi"/>
              </w:rPr>
            </w:pPr>
            <w:r>
              <w:rPr>
                <w:rFonts w:asciiTheme="minorHAnsi" w:hAnsiTheme="minorHAnsi" w:cstheme="minorHAnsi"/>
              </w:rPr>
              <w:t>X</w:t>
            </w:r>
          </w:p>
        </w:tc>
        <w:tc>
          <w:tcPr>
            <w:tcW w:w="2348" w:type="dxa"/>
            <w:gridSpan w:val="3"/>
          </w:tcPr>
          <w:p w:rsidR="00084428" w:rsidRPr="005B6540" w:rsidRDefault="00084428" w:rsidP="008709D0">
            <w:pPr>
              <w:rPr>
                <w:rFonts w:asciiTheme="minorHAnsi" w:hAnsiTheme="minorHAnsi" w:cstheme="minorHAnsi"/>
              </w:rPr>
            </w:pPr>
            <w:r w:rsidRPr="005B6540">
              <w:rPr>
                <w:rFonts w:asciiTheme="minorHAnsi" w:hAnsiTheme="minorHAnsi" w:cstheme="minorHAnsi"/>
                <w:sz w:val="22"/>
                <w:szCs w:val="22"/>
              </w:rPr>
              <w:t>Bill Nash</w:t>
            </w:r>
          </w:p>
        </w:tc>
        <w:tc>
          <w:tcPr>
            <w:tcW w:w="361" w:type="dxa"/>
          </w:tcPr>
          <w:p w:rsidR="00084428" w:rsidRPr="005B6540" w:rsidRDefault="00084428">
            <w:pPr>
              <w:rPr>
                <w:rFonts w:asciiTheme="minorHAnsi" w:hAnsiTheme="minorHAnsi" w:cstheme="minorHAnsi"/>
              </w:rPr>
            </w:pPr>
          </w:p>
        </w:tc>
        <w:tc>
          <w:tcPr>
            <w:tcW w:w="2257" w:type="dxa"/>
          </w:tcPr>
          <w:p w:rsidR="00084428" w:rsidRPr="005B6540" w:rsidRDefault="00084428">
            <w:pPr>
              <w:rPr>
                <w:rFonts w:asciiTheme="minorHAnsi" w:hAnsiTheme="minorHAnsi" w:cstheme="minorHAnsi"/>
              </w:rPr>
            </w:pPr>
          </w:p>
        </w:tc>
      </w:tr>
      <w:tr w:rsidR="00084428" w:rsidRPr="005B6540" w:rsidTr="00E838FF">
        <w:trPr>
          <w:trHeight w:val="270"/>
        </w:trPr>
        <w:tc>
          <w:tcPr>
            <w:tcW w:w="379" w:type="dxa"/>
          </w:tcPr>
          <w:p w:rsidR="00084428" w:rsidRPr="005B6540" w:rsidRDefault="002946EC" w:rsidP="00AD633F">
            <w:pPr>
              <w:rPr>
                <w:rFonts w:asciiTheme="minorHAnsi" w:hAnsiTheme="minorHAnsi" w:cstheme="minorHAnsi"/>
              </w:rPr>
            </w:pPr>
            <w:r>
              <w:rPr>
                <w:rFonts w:asciiTheme="minorHAnsi" w:hAnsiTheme="minorHAnsi" w:cstheme="minorHAnsi"/>
              </w:rPr>
              <w:t>X</w:t>
            </w:r>
          </w:p>
        </w:tc>
        <w:tc>
          <w:tcPr>
            <w:tcW w:w="2438" w:type="dxa"/>
            <w:gridSpan w:val="2"/>
          </w:tcPr>
          <w:p w:rsidR="00084428" w:rsidRPr="005B6540" w:rsidRDefault="00084428" w:rsidP="00AD633F">
            <w:pPr>
              <w:rPr>
                <w:rFonts w:asciiTheme="minorHAnsi" w:hAnsiTheme="minorHAnsi" w:cstheme="minorHAnsi"/>
              </w:rPr>
            </w:pPr>
            <w:r w:rsidRPr="005B6540">
              <w:rPr>
                <w:rFonts w:asciiTheme="minorHAnsi" w:hAnsiTheme="minorHAnsi" w:cstheme="minorHAnsi"/>
                <w:sz w:val="22"/>
                <w:szCs w:val="22"/>
              </w:rPr>
              <w:t>Angie Maddy</w:t>
            </w:r>
          </w:p>
        </w:tc>
        <w:tc>
          <w:tcPr>
            <w:tcW w:w="361" w:type="dxa"/>
          </w:tcPr>
          <w:p w:rsidR="00084428" w:rsidRPr="005B6540" w:rsidRDefault="002946EC" w:rsidP="00AD633F">
            <w:pPr>
              <w:rPr>
                <w:rFonts w:asciiTheme="minorHAnsi" w:hAnsiTheme="minorHAnsi" w:cstheme="minorHAnsi"/>
              </w:rPr>
            </w:pPr>
            <w:r>
              <w:rPr>
                <w:rFonts w:asciiTheme="minorHAnsi" w:hAnsiTheme="minorHAnsi" w:cstheme="minorHAnsi"/>
              </w:rPr>
              <w:t>X</w:t>
            </w:r>
            <w:r w:rsidR="008D52A4">
              <w:rPr>
                <w:rFonts w:asciiTheme="minorHAnsi" w:hAnsiTheme="minorHAnsi" w:cstheme="minorHAnsi"/>
              </w:rPr>
              <w:t xml:space="preserve"> </w:t>
            </w:r>
          </w:p>
        </w:tc>
        <w:tc>
          <w:tcPr>
            <w:tcW w:w="2438" w:type="dxa"/>
          </w:tcPr>
          <w:p w:rsidR="00084428" w:rsidRPr="005B6540" w:rsidRDefault="00084428" w:rsidP="00AD633F">
            <w:pPr>
              <w:rPr>
                <w:rFonts w:asciiTheme="minorHAnsi" w:hAnsiTheme="minorHAnsi" w:cstheme="minorHAnsi"/>
                <w:sz w:val="22"/>
                <w:szCs w:val="22"/>
              </w:rPr>
            </w:pPr>
            <w:r w:rsidRPr="005B6540">
              <w:rPr>
                <w:rFonts w:asciiTheme="minorHAnsi" w:hAnsiTheme="minorHAnsi" w:cstheme="minorHAnsi"/>
                <w:sz w:val="22"/>
                <w:szCs w:val="22"/>
              </w:rPr>
              <w:t>Ange Sullivan</w:t>
            </w:r>
          </w:p>
        </w:tc>
        <w:tc>
          <w:tcPr>
            <w:tcW w:w="361" w:type="dxa"/>
          </w:tcPr>
          <w:p w:rsidR="00084428" w:rsidRPr="005B6540" w:rsidRDefault="002946EC" w:rsidP="00AD633F">
            <w:pPr>
              <w:rPr>
                <w:rFonts w:asciiTheme="minorHAnsi" w:hAnsiTheme="minorHAnsi" w:cstheme="minorHAnsi"/>
              </w:rPr>
            </w:pPr>
            <w:r>
              <w:rPr>
                <w:rFonts w:asciiTheme="minorHAnsi" w:hAnsiTheme="minorHAnsi" w:cstheme="minorHAnsi"/>
              </w:rPr>
              <w:t>X</w:t>
            </w:r>
          </w:p>
        </w:tc>
        <w:tc>
          <w:tcPr>
            <w:tcW w:w="2348" w:type="dxa"/>
            <w:gridSpan w:val="3"/>
          </w:tcPr>
          <w:p w:rsidR="00084428" w:rsidRPr="005B6540" w:rsidRDefault="00EF639C" w:rsidP="00AD633F">
            <w:pPr>
              <w:rPr>
                <w:rFonts w:asciiTheme="minorHAnsi" w:hAnsiTheme="minorHAnsi" w:cstheme="minorHAnsi"/>
                <w:sz w:val="22"/>
                <w:szCs w:val="22"/>
              </w:rPr>
            </w:pPr>
            <w:r>
              <w:rPr>
                <w:rFonts w:asciiTheme="minorHAnsi" w:hAnsiTheme="minorHAnsi" w:cstheme="minorHAnsi"/>
                <w:sz w:val="22"/>
                <w:szCs w:val="22"/>
              </w:rPr>
              <w:t>Ashley Anderson</w:t>
            </w:r>
          </w:p>
        </w:tc>
        <w:tc>
          <w:tcPr>
            <w:tcW w:w="361" w:type="dxa"/>
          </w:tcPr>
          <w:p w:rsidR="00084428" w:rsidRPr="005B6540" w:rsidRDefault="00084428" w:rsidP="00AD633F">
            <w:pPr>
              <w:rPr>
                <w:rFonts w:asciiTheme="minorHAnsi" w:hAnsiTheme="minorHAnsi" w:cstheme="minorHAnsi"/>
              </w:rPr>
            </w:pPr>
          </w:p>
        </w:tc>
        <w:tc>
          <w:tcPr>
            <w:tcW w:w="2257" w:type="dxa"/>
          </w:tcPr>
          <w:p w:rsidR="00084428" w:rsidRPr="005B6540" w:rsidRDefault="00084428" w:rsidP="00AD633F">
            <w:pPr>
              <w:rPr>
                <w:rFonts w:asciiTheme="minorHAnsi" w:hAnsiTheme="minorHAnsi" w:cstheme="minorHAnsi"/>
              </w:rPr>
            </w:pPr>
          </w:p>
        </w:tc>
      </w:tr>
      <w:tr w:rsidR="00AD633F" w:rsidRPr="005B6540" w:rsidTr="00AE2579">
        <w:trPr>
          <w:trHeight w:val="327"/>
        </w:trPr>
        <w:tc>
          <w:tcPr>
            <w:tcW w:w="10943"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E838FF">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C853AF" w:rsidRDefault="00A169DA" w:rsidP="00AD633F">
            <w:pPr>
              <w:rPr>
                <w:rFonts w:asciiTheme="minorHAnsi" w:hAnsiTheme="minorHAnsi" w:cstheme="minorHAnsi"/>
                <w:sz w:val="22"/>
                <w:szCs w:val="22"/>
              </w:rPr>
            </w:pPr>
            <w:r>
              <w:rPr>
                <w:rFonts w:asciiTheme="minorHAnsi" w:hAnsiTheme="minorHAnsi" w:cstheme="minorHAnsi"/>
                <w:sz w:val="22"/>
                <w:szCs w:val="22"/>
              </w:rPr>
              <w:t>Regina Casper</w:t>
            </w:r>
          </w:p>
        </w:tc>
        <w:tc>
          <w:tcPr>
            <w:tcW w:w="361" w:type="dxa"/>
          </w:tcPr>
          <w:p w:rsidR="00084428" w:rsidRPr="005B6540" w:rsidRDefault="002946EC" w:rsidP="00AD633F">
            <w:pPr>
              <w:rPr>
                <w:rFonts w:asciiTheme="minorHAnsi" w:hAnsiTheme="minorHAnsi" w:cstheme="minorHAnsi"/>
              </w:rPr>
            </w:pPr>
            <w:r>
              <w:rPr>
                <w:rFonts w:asciiTheme="minorHAnsi" w:hAnsiTheme="minorHAnsi" w:cstheme="minorHAnsi"/>
              </w:rPr>
              <w:t>X</w:t>
            </w:r>
          </w:p>
        </w:tc>
        <w:tc>
          <w:tcPr>
            <w:tcW w:w="2438" w:type="dxa"/>
          </w:tcPr>
          <w:p w:rsidR="00084428" w:rsidRPr="000D1C7B" w:rsidRDefault="008D52A4" w:rsidP="008D76C3">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r w:rsidR="00A1272F">
              <w:rPr>
                <w:rFonts w:asciiTheme="minorHAnsi" w:hAnsiTheme="minorHAnsi" w:cstheme="minorHAnsi"/>
                <w:sz w:val="22"/>
                <w:szCs w:val="22"/>
              </w:rPr>
              <w:t>Carol Murphy</w:t>
            </w:r>
          </w:p>
        </w:tc>
        <w:tc>
          <w:tcPr>
            <w:tcW w:w="361"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61" w:type="dxa"/>
          </w:tcPr>
          <w:p w:rsidR="00084428" w:rsidRPr="005B6540" w:rsidRDefault="00084428" w:rsidP="00AD633F">
            <w:pPr>
              <w:rPr>
                <w:rFonts w:asciiTheme="minorHAnsi" w:hAnsiTheme="minorHAnsi" w:cstheme="minorHAnsi"/>
              </w:rPr>
            </w:pPr>
          </w:p>
        </w:tc>
        <w:tc>
          <w:tcPr>
            <w:tcW w:w="2257" w:type="dxa"/>
          </w:tcPr>
          <w:p w:rsidR="00084428" w:rsidRPr="005B6540" w:rsidRDefault="00084428" w:rsidP="00AD633F">
            <w:pPr>
              <w:rPr>
                <w:rFonts w:asciiTheme="minorHAnsi" w:hAnsiTheme="minorHAnsi" w:cstheme="minorHAnsi"/>
              </w:rPr>
            </w:pPr>
          </w:p>
        </w:tc>
      </w:tr>
      <w:tr w:rsidR="00084428" w:rsidRPr="005B6540" w:rsidTr="00E838FF">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9A1BB2" w:rsidRDefault="008D76C3" w:rsidP="00AD633F">
            <w:pPr>
              <w:rPr>
                <w:rFonts w:asciiTheme="minorHAnsi" w:hAnsiTheme="minorHAnsi" w:cstheme="minorHAnsi"/>
                <w:strike/>
                <w:sz w:val="22"/>
                <w:szCs w:val="22"/>
              </w:rPr>
            </w:pPr>
            <w:r>
              <w:rPr>
                <w:rFonts w:asciiTheme="minorHAnsi" w:hAnsiTheme="minorHAnsi"/>
                <w:sz w:val="22"/>
                <w:szCs w:val="22"/>
              </w:rPr>
              <w:t xml:space="preserve"> </w:t>
            </w:r>
            <w:r w:rsidR="008D52A4" w:rsidRPr="009A1BB2">
              <w:rPr>
                <w:rFonts w:asciiTheme="minorHAnsi" w:hAnsiTheme="minorHAnsi"/>
                <w:strike/>
                <w:sz w:val="22"/>
                <w:szCs w:val="22"/>
              </w:rPr>
              <w:t xml:space="preserve"> </w:t>
            </w:r>
          </w:p>
        </w:tc>
        <w:tc>
          <w:tcPr>
            <w:tcW w:w="361" w:type="dxa"/>
          </w:tcPr>
          <w:p w:rsidR="00084428" w:rsidRPr="005B6540" w:rsidRDefault="00084428" w:rsidP="00AD633F">
            <w:pPr>
              <w:rPr>
                <w:rFonts w:asciiTheme="minorHAnsi" w:hAnsiTheme="minorHAnsi" w:cstheme="minorHAnsi"/>
              </w:rPr>
            </w:pPr>
          </w:p>
        </w:tc>
        <w:tc>
          <w:tcPr>
            <w:tcW w:w="2438" w:type="dxa"/>
          </w:tcPr>
          <w:p w:rsidR="00084428" w:rsidRPr="005B6540" w:rsidRDefault="00084428" w:rsidP="00AD633F">
            <w:pPr>
              <w:rPr>
                <w:rFonts w:asciiTheme="minorHAnsi" w:hAnsiTheme="minorHAnsi" w:cstheme="minorHAnsi"/>
              </w:rPr>
            </w:pPr>
          </w:p>
        </w:tc>
        <w:tc>
          <w:tcPr>
            <w:tcW w:w="361"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61" w:type="dxa"/>
          </w:tcPr>
          <w:p w:rsidR="00084428" w:rsidRPr="005B6540" w:rsidRDefault="00084428" w:rsidP="00AD633F">
            <w:pPr>
              <w:rPr>
                <w:rFonts w:asciiTheme="minorHAnsi" w:hAnsiTheme="minorHAnsi" w:cstheme="minorHAnsi"/>
              </w:rPr>
            </w:pPr>
          </w:p>
        </w:tc>
        <w:tc>
          <w:tcPr>
            <w:tcW w:w="2257" w:type="dxa"/>
          </w:tcPr>
          <w:p w:rsidR="00084428" w:rsidRPr="005B6540" w:rsidRDefault="00084428" w:rsidP="00AD633F">
            <w:pPr>
              <w:rPr>
                <w:rFonts w:asciiTheme="minorHAnsi" w:hAnsiTheme="minorHAnsi" w:cstheme="minorHAnsi"/>
              </w:rPr>
            </w:pPr>
          </w:p>
        </w:tc>
      </w:tr>
      <w:tr w:rsidR="00AD633F" w:rsidRPr="005B6540" w:rsidTr="00AE2579">
        <w:trPr>
          <w:trHeight w:val="65"/>
        </w:trPr>
        <w:tc>
          <w:tcPr>
            <w:tcW w:w="8686"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257"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457EFD" w:rsidRPr="005B6540" w:rsidTr="00523881">
        <w:trPr>
          <w:trHeight w:val="1016"/>
        </w:trPr>
        <w:tc>
          <w:tcPr>
            <w:tcW w:w="8686" w:type="dxa"/>
            <w:gridSpan w:val="10"/>
            <w:tcBorders>
              <w:bottom w:val="single" w:sz="4" w:space="0" w:color="000000"/>
            </w:tcBorders>
            <w:shd w:val="clear" w:color="auto" w:fill="auto"/>
          </w:tcPr>
          <w:p w:rsidR="00457EFD" w:rsidRDefault="00457EFD" w:rsidP="006240A2">
            <w:pPr>
              <w:rPr>
                <w:rFonts w:asciiTheme="minorHAnsi" w:hAnsiTheme="minorHAnsi" w:cstheme="minorHAnsi"/>
              </w:rPr>
            </w:pPr>
          </w:p>
          <w:p w:rsidR="00457EFD" w:rsidRDefault="00457EFD" w:rsidP="006240A2">
            <w:pPr>
              <w:rPr>
                <w:rFonts w:asciiTheme="minorHAnsi" w:hAnsiTheme="minorHAnsi" w:cstheme="minorHAnsi"/>
              </w:rPr>
            </w:pPr>
            <w:r>
              <w:rPr>
                <w:rFonts w:asciiTheme="minorHAnsi" w:hAnsiTheme="minorHAnsi" w:cstheme="minorHAnsi"/>
              </w:rPr>
              <w:t>Minutes from Last Meeting (</w:t>
            </w:r>
            <w:r w:rsidR="004015C7">
              <w:rPr>
                <w:rFonts w:asciiTheme="minorHAnsi" w:hAnsiTheme="minorHAnsi" w:cstheme="minorHAnsi"/>
              </w:rPr>
              <w:t xml:space="preserve">1 </w:t>
            </w:r>
            <w:r>
              <w:rPr>
                <w:rFonts w:asciiTheme="minorHAnsi" w:hAnsiTheme="minorHAnsi" w:cstheme="minorHAnsi"/>
              </w:rPr>
              <w:t>attachment)</w:t>
            </w:r>
          </w:p>
          <w:p w:rsidR="00741E50" w:rsidRDefault="00741E50" w:rsidP="006240A2">
            <w:pPr>
              <w:rPr>
                <w:rFonts w:asciiTheme="minorHAnsi" w:hAnsiTheme="minorHAnsi" w:cstheme="minorHAnsi"/>
                <w:color w:val="FFC000"/>
              </w:rPr>
            </w:pPr>
            <w:r>
              <w:rPr>
                <w:rFonts w:asciiTheme="minorHAnsi" w:hAnsiTheme="minorHAnsi" w:cstheme="minorHAnsi"/>
                <w:color w:val="FFC000"/>
              </w:rPr>
              <w:t xml:space="preserve">Dr. Garrett announced the group is now called the Deans Council. </w:t>
            </w:r>
          </w:p>
          <w:p w:rsidR="00741E50" w:rsidRPr="00741E50" w:rsidRDefault="00741E50" w:rsidP="006240A2">
            <w:pPr>
              <w:rPr>
                <w:rFonts w:asciiTheme="minorHAnsi" w:hAnsiTheme="minorHAnsi" w:cstheme="minorHAnsi"/>
                <w:color w:val="FFC000"/>
              </w:rPr>
            </w:pPr>
            <w:r>
              <w:rPr>
                <w:rFonts w:asciiTheme="minorHAnsi" w:hAnsiTheme="minorHAnsi" w:cstheme="minorHAnsi"/>
                <w:color w:val="FFC000"/>
              </w:rPr>
              <w:t>Extend the time of the Deans Meetings until 4:30 going forward.</w:t>
            </w:r>
          </w:p>
        </w:tc>
        <w:tc>
          <w:tcPr>
            <w:tcW w:w="2257" w:type="dxa"/>
            <w:tcBorders>
              <w:bottom w:val="single" w:sz="4" w:space="0" w:color="000000"/>
            </w:tcBorders>
            <w:shd w:val="clear" w:color="auto" w:fill="auto"/>
          </w:tcPr>
          <w:p w:rsidR="00457EFD" w:rsidRDefault="00457EFD" w:rsidP="006240A2">
            <w:pPr>
              <w:jc w:val="center"/>
              <w:rPr>
                <w:rFonts w:asciiTheme="minorHAnsi" w:hAnsiTheme="minorHAnsi" w:cstheme="minorHAnsi"/>
              </w:rPr>
            </w:pPr>
          </w:p>
          <w:p w:rsidR="00457EFD" w:rsidRDefault="00457EFD" w:rsidP="006240A2">
            <w:pPr>
              <w:jc w:val="center"/>
              <w:rPr>
                <w:rFonts w:asciiTheme="minorHAnsi" w:hAnsiTheme="minorHAnsi" w:cstheme="minorHAnsi"/>
              </w:rPr>
            </w:pPr>
            <w:r>
              <w:rPr>
                <w:rFonts w:asciiTheme="minorHAnsi" w:hAnsiTheme="minorHAnsi" w:cstheme="minorHAnsi"/>
              </w:rPr>
              <w:t>N/A</w:t>
            </w:r>
          </w:p>
        </w:tc>
      </w:tr>
      <w:tr w:rsidR="004015C7" w:rsidRPr="005B6540" w:rsidTr="00523881">
        <w:trPr>
          <w:trHeight w:val="1016"/>
        </w:trPr>
        <w:tc>
          <w:tcPr>
            <w:tcW w:w="8686" w:type="dxa"/>
            <w:gridSpan w:val="10"/>
            <w:tcBorders>
              <w:bottom w:val="single" w:sz="4" w:space="0" w:color="000000"/>
            </w:tcBorders>
            <w:shd w:val="clear" w:color="auto" w:fill="auto"/>
          </w:tcPr>
          <w:p w:rsidR="004015C7" w:rsidRDefault="004015C7" w:rsidP="006240A2">
            <w:pPr>
              <w:rPr>
                <w:rFonts w:asciiTheme="minorHAnsi" w:hAnsiTheme="minorHAnsi" w:cstheme="minorHAnsi"/>
              </w:rPr>
            </w:pPr>
          </w:p>
          <w:p w:rsidR="004015C7" w:rsidRDefault="004015C7" w:rsidP="006240A2">
            <w:pPr>
              <w:rPr>
                <w:rFonts w:asciiTheme="minorHAnsi" w:hAnsiTheme="minorHAnsi" w:cstheme="minorHAnsi"/>
              </w:rPr>
            </w:pPr>
            <w:r>
              <w:rPr>
                <w:rFonts w:asciiTheme="minorHAnsi" w:hAnsiTheme="minorHAnsi" w:cstheme="minorHAnsi"/>
              </w:rPr>
              <w:t>Presentation of EDUC XXXX First Year Experience Seminar Proposal for Fall 2016 (attachment) – Continued from Last Meeting</w:t>
            </w:r>
          </w:p>
          <w:p w:rsidR="004015C7" w:rsidRPr="00741E50" w:rsidRDefault="00741E50" w:rsidP="001B0D41">
            <w:pPr>
              <w:rPr>
                <w:rFonts w:asciiTheme="minorHAnsi" w:hAnsiTheme="minorHAnsi" w:cstheme="minorHAnsi"/>
                <w:color w:val="FFC000"/>
              </w:rPr>
            </w:pPr>
            <w:r>
              <w:rPr>
                <w:rFonts w:asciiTheme="minorHAnsi" w:hAnsiTheme="minorHAnsi" w:cstheme="minorHAnsi"/>
                <w:color w:val="FFC000"/>
              </w:rPr>
              <w:t>Dr. Abel brought up this topic about 2 years ago. They put a task force together meeting regularly about what other institutions were doing and the desired direction of this offering. FHSU offered some guidance. The Student Success class was felt to be a good ‘nuts and bolts’ class but felt students needed additional directive. The FYE class will be different in that it will provide this ‘extra’ guidance</w:t>
            </w:r>
            <w:r w:rsidR="00C73855">
              <w:rPr>
                <w:rFonts w:asciiTheme="minorHAnsi" w:hAnsiTheme="minorHAnsi" w:cstheme="minorHAnsi"/>
                <w:color w:val="FFC000"/>
              </w:rPr>
              <w:t xml:space="preserve">/skills. This course is more of a behavioral class vs the cognitive approach offered in the Student Success course. Elaine asked how we know what/when to place students in this class. Dr .Abel would like this class to be mandatory with a potential 1 cr. – just beginning with the GB Campus. Would like to pilot this course in the Fall with the Upward Bound students. Student Success does currently get paid by Financial Aid and is 3 cr. Angie M. spoke about our options – maybe combining the two courses – broaden the scope of Student Success to encompass FYE content. </w:t>
            </w:r>
            <w:r w:rsidR="001B0D41">
              <w:rPr>
                <w:rFonts w:asciiTheme="minorHAnsi" w:hAnsiTheme="minorHAnsi" w:cstheme="minorHAnsi"/>
                <w:color w:val="FFC000"/>
              </w:rPr>
              <w:t>Dr. Garrett asked the group for further input/future steps. Dr. Garrett would like to have feedback by Tuesday from faculty/ED’s emailed to Rick, Angie and Rayna (cc Dr. Garrett). Ashley questions why we can’t just embed the FYE content into Student Success? Elaine asked Rayna to send the Student Success syllabus to all Deans after the meeting.</w:t>
            </w:r>
          </w:p>
        </w:tc>
        <w:tc>
          <w:tcPr>
            <w:tcW w:w="2257" w:type="dxa"/>
            <w:tcBorders>
              <w:bottom w:val="single" w:sz="4" w:space="0" w:color="000000"/>
            </w:tcBorders>
            <w:shd w:val="clear" w:color="auto" w:fill="auto"/>
          </w:tcPr>
          <w:p w:rsidR="004015C7" w:rsidRDefault="004015C7" w:rsidP="006240A2">
            <w:pPr>
              <w:jc w:val="center"/>
              <w:rPr>
                <w:rFonts w:asciiTheme="minorHAnsi" w:hAnsiTheme="minorHAnsi" w:cstheme="minorHAnsi"/>
              </w:rPr>
            </w:pPr>
          </w:p>
          <w:p w:rsidR="004015C7" w:rsidRDefault="004015C7" w:rsidP="006240A2">
            <w:pPr>
              <w:jc w:val="center"/>
              <w:rPr>
                <w:rFonts w:asciiTheme="minorHAnsi" w:hAnsiTheme="minorHAnsi" w:cstheme="minorHAnsi"/>
              </w:rPr>
            </w:pPr>
            <w:r>
              <w:rPr>
                <w:rFonts w:asciiTheme="minorHAnsi" w:hAnsiTheme="minorHAnsi" w:cstheme="minorHAnsi"/>
              </w:rPr>
              <w:t>Dr. Abel</w:t>
            </w:r>
          </w:p>
        </w:tc>
      </w:tr>
      <w:tr w:rsidR="008D76C3" w:rsidRPr="005B6540" w:rsidTr="00523881">
        <w:trPr>
          <w:trHeight w:val="1016"/>
        </w:trPr>
        <w:tc>
          <w:tcPr>
            <w:tcW w:w="8686" w:type="dxa"/>
            <w:gridSpan w:val="10"/>
            <w:tcBorders>
              <w:bottom w:val="single" w:sz="4" w:space="0" w:color="000000"/>
            </w:tcBorders>
            <w:shd w:val="clear" w:color="auto" w:fill="auto"/>
          </w:tcPr>
          <w:p w:rsidR="00635F3A" w:rsidRDefault="00635F3A" w:rsidP="006240A2">
            <w:pPr>
              <w:rPr>
                <w:rFonts w:asciiTheme="minorHAnsi" w:hAnsiTheme="minorHAnsi" w:cstheme="minorHAnsi"/>
              </w:rPr>
            </w:pPr>
          </w:p>
          <w:p w:rsidR="008D76C3" w:rsidRDefault="00635F3A" w:rsidP="006240A2">
            <w:pPr>
              <w:rPr>
                <w:rFonts w:asciiTheme="minorHAnsi" w:hAnsiTheme="minorHAnsi" w:cstheme="minorHAnsi"/>
              </w:rPr>
            </w:pPr>
            <w:r>
              <w:rPr>
                <w:rFonts w:asciiTheme="minorHAnsi" w:hAnsiTheme="minorHAnsi" w:cstheme="minorHAnsi"/>
              </w:rPr>
              <w:t>KBOR Performance Agreement (</w:t>
            </w:r>
            <w:r w:rsidR="004015C7">
              <w:rPr>
                <w:rFonts w:asciiTheme="minorHAnsi" w:hAnsiTheme="minorHAnsi" w:cstheme="minorHAnsi"/>
              </w:rPr>
              <w:t xml:space="preserve">2 </w:t>
            </w:r>
            <w:r>
              <w:rPr>
                <w:rFonts w:asciiTheme="minorHAnsi" w:hAnsiTheme="minorHAnsi" w:cstheme="minorHAnsi"/>
              </w:rPr>
              <w:t>attachments)</w:t>
            </w:r>
          </w:p>
          <w:p w:rsidR="001B0D41" w:rsidRPr="001B0D41" w:rsidRDefault="004240E0" w:rsidP="006240A2">
            <w:pPr>
              <w:rPr>
                <w:rFonts w:asciiTheme="minorHAnsi" w:hAnsiTheme="minorHAnsi" w:cstheme="minorHAnsi"/>
                <w:color w:val="FFC000"/>
              </w:rPr>
            </w:pPr>
            <w:r>
              <w:rPr>
                <w:rFonts w:asciiTheme="minorHAnsi" w:hAnsiTheme="minorHAnsi" w:cstheme="minorHAnsi"/>
                <w:color w:val="FFC000"/>
              </w:rPr>
              <w:t xml:space="preserve">Dr. Garrett referred to the handouts. We have to provide numbers by June and finish in September. Elaine suggested that she is fairly confident the number for the next reporting is a ‘done deal’. Dr. Garrett stated that everyone that was down in two was penalized. The work we do will be a benefit in 2017. Dr. Garrett stated that if we can find anyone we can complete – do it. Ange S questioned if Technical data was being included in this data. Ange S told Elaine she would ask Jo Harrington if Tech is included. Dr. Garrett said we might look at adjusting the metrics for the future. </w:t>
            </w:r>
          </w:p>
        </w:tc>
        <w:tc>
          <w:tcPr>
            <w:tcW w:w="2257" w:type="dxa"/>
            <w:tcBorders>
              <w:bottom w:val="single" w:sz="4" w:space="0" w:color="000000"/>
            </w:tcBorders>
            <w:shd w:val="clear" w:color="auto" w:fill="auto"/>
          </w:tcPr>
          <w:p w:rsidR="00635F3A" w:rsidRDefault="00635F3A" w:rsidP="006240A2">
            <w:pPr>
              <w:jc w:val="center"/>
              <w:rPr>
                <w:rFonts w:asciiTheme="minorHAnsi" w:hAnsiTheme="minorHAnsi" w:cstheme="minorHAnsi"/>
              </w:rPr>
            </w:pPr>
          </w:p>
          <w:p w:rsidR="005F6E2A" w:rsidRDefault="00635F3A" w:rsidP="006240A2">
            <w:pPr>
              <w:jc w:val="center"/>
              <w:rPr>
                <w:rFonts w:asciiTheme="minorHAnsi" w:hAnsiTheme="minorHAnsi" w:cstheme="minorHAnsi"/>
              </w:rPr>
            </w:pPr>
            <w:r>
              <w:rPr>
                <w:rFonts w:asciiTheme="minorHAnsi" w:hAnsiTheme="minorHAnsi" w:cstheme="minorHAnsi"/>
              </w:rPr>
              <w:t>Dr. Garrett</w:t>
            </w:r>
          </w:p>
        </w:tc>
      </w:tr>
      <w:tr w:rsidR="00A86249" w:rsidRPr="005B6540" w:rsidTr="00523881">
        <w:trPr>
          <w:trHeight w:val="1016"/>
        </w:trPr>
        <w:tc>
          <w:tcPr>
            <w:tcW w:w="8686" w:type="dxa"/>
            <w:gridSpan w:val="10"/>
            <w:tcBorders>
              <w:bottom w:val="single" w:sz="4" w:space="0" w:color="000000"/>
            </w:tcBorders>
            <w:shd w:val="clear" w:color="auto" w:fill="auto"/>
          </w:tcPr>
          <w:p w:rsidR="00442ECD" w:rsidRDefault="00442ECD" w:rsidP="006240A2">
            <w:pPr>
              <w:rPr>
                <w:rFonts w:asciiTheme="minorHAnsi" w:hAnsiTheme="minorHAnsi" w:cstheme="minorHAnsi"/>
              </w:rPr>
            </w:pPr>
          </w:p>
          <w:p w:rsidR="008D2DDD" w:rsidRDefault="00442ECD" w:rsidP="006240A2">
            <w:pPr>
              <w:rPr>
                <w:rFonts w:asciiTheme="minorHAnsi" w:hAnsiTheme="minorHAnsi" w:cstheme="minorHAnsi"/>
              </w:rPr>
            </w:pPr>
            <w:r>
              <w:rPr>
                <w:rFonts w:asciiTheme="minorHAnsi" w:hAnsiTheme="minorHAnsi" w:cstheme="minorHAnsi"/>
              </w:rPr>
              <w:t>Tech Management 2+2 (</w:t>
            </w:r>
            <w:r w:rsidR="004015C7">
              <w:rPr>
                <w:rFonts w:asciiTheme="minorHAnsi" w:hAnsiTheme="minorHAnsi" w:cstheme="minorHAnsi"/>
              </w:rPr>
              <w:t xml:space="preserve">2 </w:t>
            </w:r>
            <w:r>
              <w:rPr>
                <w:rFonts w:asciiTheme="minorHAnsi" w:hAnsiTheme="minorHAnsi" w:cstheme="minorHAnsi"/>
              </w:rPr>
              <w:t>attachments)</w:t>
            </w:r>
          </w:p>
          <w:p w:rsidR="004240E0" w:rsidRPr="005601C5" w:rsidRDefault="005601C5" w:rsidP="006240A2">
            <w:pPr>
              <w:rPr>
                <w:rFonts w:asciiTheme="minorHAnsi" w:hAnsiTheme="minorHAnsi" w:cstheme="minorHAnsi"/>
                <w:color w:val="FFC000"/>
              </w:rPr>
            </w:pPr>
            <w:r>
              <w:rPr>
                <w:rFonts w:asciiTheme="minorHAnsi" w:hAnsiTheme="minorHAnsi" w:cstheme="minorHAnsi"/>
                <w:color w:val="FFC000"/>
              </w:rPr>
              <w:t>Elaine does not feel we are ready to move forward with the 2+2 included with the Agenda. Elaine feels her and Bill need to have a conference call with K-State. However, move forward with the Wesleyan Agreement.</w:t>
            </w:r>
          </w:p>
        </w:tc>
        <w:tc>
          <w:tcPr>
            <w:tcW w:w="2257" w:type="dxa"/>
            <w:tcBorders>
              <w:bottom w:val="single" w:sz="4" w:space="0" w:color="000000"/>
            </w:tcBorders>
            <w:shd w:val="clear" w:color="auto" w:fill="auto"/>
          </w:tcPr>
          <w:p w:rsidR="00442ECD" w:rsidRDefault="00442ECD" w:rsidP="006240A2">
            <w:pPr>
              <w:jc w:val="center"/>
              <w:rPr>
                <w:rFonts w:asciiTheme="minorHAnsi" w:hAnsiTheme="minorHAnsi" w:cstheme="minorHAnsi"/>
              </w:rPr>
            </w:pPr>
          </w:p>
          <w:p w:rsidR="00017CBB" w:rsidRDefault="00017CBB" w:rsidP="006240A2">
            <w:pPr>
              <w:jc w:val="center"/>
              <w:rPr>
                <w:rFonts w:asciiTheme="minorHAnsi" w:hAnsiTheme="minorHAnsi" w:cstheme="minorHAnsi"/>
              </w:rPr>
            </w:pPr>
            <w:r>
              <w:rPr>
                <w:rFonts w:asciiTheme="minorHAnsi" w:hAnsiTheme="minorHAnsi" w:cstheme="minorHAnsi"/>
              </w:rPr>
              <w:t>Elaine Simmons</w:t>
            </w:r>
          </w:p>
          <w:p w:rsidR="008D2DDD" w:rsidRDefault="00442ECD" w:rsidP="006240A2">
            <w:pPr>
              <w:jc w:val="center"/>
              <w:rPr>
                <w:rFonts w:asciiTheme="minorHAnsi" w:hAnsiTheme="minorHAnsi" w:cstheme="minorHAnsi"/>
              </w:rPr>
            </w:pPr>
            <w:r>
              <w:rPr>
                <w:rFonts w:asciiTheme="minorHAnsi" w:hAnsiTheme="minorHAnsi" w:cstheme="minorHAnsi"/>
              </w:rPr>
              <w:t>Bill Nash</w:t>
            </w:r>
          </w:p>
        </w:tc>
      </w:tr>
      <w:tr w:rsidR="00EA4681" w:rsidRPr="005B6540" w:rsidTr="00635F3A">
        <w:trPr>
          <w:trHeight w:val="1043"/>
        </w:trPr>
        <w:tc>
          <w:tcPr>
            <w:tcW w:w="8686" w:type="dxa"/>
            <w:gridSpan w:val="10"/>
            <w:tcBorders>
              <w:bottom w:val="single" w:sz="4" w:space="0" w:color="000000"/>
            </w:tcBorders>
            <w:shd w:val="clear" w:color="auto" w:fill="auto"/>
          </w:tcPr>
          <w:p w:rsidR="00A1272F" w:rsidRDefault="00A1272F" w:rsidP="006240A2">
            <w:pPr>
              <w:rPr>
                <w:rFonts w:asciiTheme="minorHAnsi" w:hAnsiTheme="minorHAnsi" w:cstheme="minorHAnsi"/>
              </w:rPr>
            </w:pPr>
          </w:p>
          <w:p w:rsidR="00523881" w:rsidRDefault="00A1272F" w:rsidP="006240A2">
            <w:pPr>
              <w:rPr>
                <w:rFonts w:asciiTheme="minorHAnsi" w:hAnsiTheme="minorHAnsi" w:cstheme="minorHAnsi"/>
              </w:rPr>
            </w:pPr>
            <w:r>
              <w:rPr>
                <w:rFonts w:asciiTheme="minorHAnsi" w:hAnsiTheme="minorHAnsi" w:cstheme="minorHAnsi"/>
              </w:rPr>
              <w:t>Revision of Placement Policy (</w:t>
            </w:r>
            <w:r w:rsidR="004015C7">
              <w:rPr>
                <w:rFonts w:asciiTheme="minorHAnsi" w:hAnsiTheme="minorHAnsi" w:cstheme="minorHAnsi"/>
              </w:rPr>
              <w:t xml:space="preserve">1 </w:t>
            </w:r>
            <w:r>
              <w:rPr>
                <w:rFonts w:asciiTheme="minorHAnsi" w:hAnsiTheme="minorHAnsi" w:cstheme="minorHAnsi"/>
              </w:rPr>
              <w:t>attachment)</w:t>
            </w:r>
          </w:p>
          <w:p w:rsidR="00AF04C5" w:rsidRPr="005601C5" w:rsidRDefault="005601C5" w:rsidP="00AF04C5">
            <w:pPr>
              <w:rPr>
                <w:rFonts w:asciiTheme="minorHAnsi" w:hAnsiTheme="minorHAnsi" w:cstheme="minorHAnsi"/>
                <w:color w:val="FFC000"/>
              </w:rPr>
            </w:pPr>
            <w:r>
              <w:rPr>
                <w:rFonts w:asciiTheme="minorHAnsi" w:hAnsiTheme="minorHAnsi" w:cstheme="minorHAnsi"/>
                <w:color w:val="FFC000"/>
              </w:rPr>
              <w:t xml:space="preserve">All the highlighted is revised on the document provided by Carol. </w:t>
            </w:r>
            <w:r w:rsidR="008D3E60">
              <w:rPr>
                <w:rFonts w:asciiTheme="minorHAnsi" w:hAnsiTheme="minorHAnsi" w:cstheme="minorHAnsi"/>
                <w:color w:val="FFC000"/>
              </w:rPr>
              <w:t xml:space="preserve">Everyone that does not meet ACT requirement – they would take Accuplacer plus this additional test. Rick needs to follow up on how we are going to implement. What about students that took the Accuplacer somewhere else? </w:t>
            </w:r>
          </w:p>
          <w:p w:rsidR="008D3E60" w:rsidRPr="005601C5" w:rsidRDefault="008D3E60" w:rsidP="006240A2">
            <w:pPr>
              <w:rPr>
                <w:rFonts w:asciiTheme="minorHAnsi" w:hAnsiTheme="minorHAnsi" w:cstheme="minorHAnsi"/>
                <w:color w:val="FFC000"/>
              </w:rPr>
            </w:pPr>
          </w:p>
        </w:tc>
        <w:tc>
          <w:tcPr>
            <w:tcW w:w="2257" w:type="dxa"/>
            <w:tcBorders>
              <w:bottom w:val="single" w:sz="4" w:space="0" w:color="000000"/>
            </w:tcBorders>
            <w:shd w:val="clear" w:color="auto" w:fill="auto"/>
          </w:tcPr>
          <w:p w:rsidR="00A1272F" w:rsidRDefault="00A1272F" w:rsidP="00EA4681">
            <w:pPr>
              <w:jc w:val="center"/>
              <w:rPr>
                <w:rFonts w:asciiTheme="minorHAnsi" w:hAnsiTheme="minorHAnsi" w:cstheme="minorHAnsi"/>
              </w:rPr>
            </w:pPr>
          </w:p>
          <w:p w:rsidR="00D76238" w:rsidRDefault="00A1272F" w:rsidP="00EA4681">
            <w:pPr>
              <w:jc w:val="center"/>
              <w:rPr>
                <w:rFonts w:asciiTheme="minorHAnsi" w:hAnsiTheme="minorHAnsi" w:cstheme="minorHAnsi"/>
              </w:rPr>
            </w:pPr>
            <w:r>
              <w:rPr>
                <w:rFonts w:asciiTheme="minorHAnsi" w:hAnsiTheme="minorHAnsi" w:cstheme="minorHAnsi"/>
              </w:rPr>
              <w:t>Carol Murphy</w:t>
            </w:r>
          </w:p>
        </w:tc>
      </w:tr>
      <w:tr w:rsidR="00C92634" w:rsidRPr="005B6540" w:rsidTr="00AE2579">
        <w:trPr>
          <w:trHeight w:val="878"/>
        </w:trPr>
        <w:tc>
          <w:tcPr>
            <w:tcW w:w="8686" w:type="dxa"/>
            <w:gridSpan w:val="10"/>
            <w:shd w:val="clear" w:color="auto" w:fill="auto"/>
          </w:tcPr>
          <w:p w:rsidR="00A1272F" w:rsidRDefault="00A1272F" w:rsidP="006240A2"/>
          <w:p w:rsidR="005C7D18" w:rsidRDefault="00A1272F" w:rsidP="006240A2">
            <w:r>
              <w:t>Faculty Meeting Discussion (</w:t>
            </w:r>
            <w:r w:rsidR="004015C7">
              <w:t xml:space="preserve">3 </w:t>
            </w:r>
            <w:r>
              <w:t>attachments)</w:t>
            </w:r>
          </w:p>
          <w:p w:rsidR="00017CBB" w:rsidRDefault="00017CBB" w:rsidP="006240A2">
            <w:r>
              <w:t xml:space="preserve">       Adjunct </w:t>
            </w:r>
          </w:p>
          <w:p w:rsidR="00017CBB" w:rsidRDefault="00017CBB" w:rsidP="006240A2">
            <w:r>
              <w:t xml:space="preserve">       Professional Development</w:t>
            </w:r>
          </w:p>
          <w:p w:rsidR="00017CBB" w:rsidRDefault="00017CBB" w:rsidP="006240A2">
            <w:r>
              <w:t xml:space="preserve">       New Faculty </w:t>
            </w:r>
          </w:p>
          <w:p w:rsidR="00017CBB" w:rsidRDefault="008D3E60" w:rsidP="006240A2">
            <w:pPr>
              <w:rPr>
                <w:color w:val="FFC000"/>
              </w:rPr>
            </w:pPr>
            <w:r>
              <w:rPr>
                <w:color w:val="FFC000"/>
              </w:rPr>
              <w:t xml:space="preserve">Dr. Garrett would like the Adjunct and the Professional Development meetings to be aired live to all campuses. She feels we need to inclusive of all campuses. </w:t>
            </w:r>
          </w:p>
          <w:p w:rsidR="008D3E60" w:rsidRPr="008D3E60" w:rsidRDefault="008D3E60" w:rsidP="006240A2">
            <w:pPr>
              <w:rPr>
                <w:color w:val="FFC000"/>
              </w:rPr>
            </w:pPr>
            <w:r>
              <w:rPr>
                <w:color w:val="FFC000"/>
              </w:rPr>
              <w:t>The group viewed the postcard designed by Elaine. Robin asked if we needed another postcard outlining the sessions available? This would provide a platform to talk</w:t>
            </w:r>
            <w:r w:rsidR="00F92AFC">
              <w:rPr>
                <w:color w:val="FFC000"/>
              </w:rPr>
              <w:t xml:space="preserve"> to adjuncts</w:t>
            </w:r>
            <w:r>
              <w:rPr>
                <w:color w:val="FFC000"/>
              </w:rPr>
              <w:t xml:space="preserve"> about syllabi, course shells, etc.</w:t>
            </w:r>
            <w:r w:rsidR="00F92AFC">
              <w:rPr>
                <w:color w:val="FFC000"/>
              </w:rPr>
              <w:t xml:space="preserve"> Elaine questioned if there should be two types of adjunct sessions due to the diversity/push back from previous years. Elaine will provide the PowerPoint used to view and decide if one general session is appropriate. Elaine questioned if Denise is responsible, Rayna is responsible, both, more??? </w:t>
            </w:r>
          </w:p>
        </w:tc>
        <w:tc>
          <w:tcPr>
            <w:tcW w:w="2257" w:type="dxa"/>
            <w:shd w:val="clear" w:color="auto" w:fill="auto"/>
          </w:tcPr>
          <w:p w:rsidR="00A1272F" w:rsidRDefault="00A1272F" w:rsidP="006240A2">
            <w:pPr>
              <w:jc w:val="center"/>
            </w:pPr>
          </w:p>
          <w:p w:rsidR="00457EFD" w:rsidRDefault="00A1272F" w:rsidP="006240A2">
            <w:pPr>
              <w:jc w:val="center"/>
            </w:pPr>
            <w:r>
              <w:t>Dr. Garrett</w:t>
            </w:r>
          </w:p>
          <w:p w:rsidR="00017CBB" w:rsidRDefault="00017CBB" w:rsidP="006240A2">
            <w:pPr>
              <w:jc w:val="center"/>
            </w:pPr>
            <w:r>
              <w:t>Elaine Simmons</w:t>
            </w:r>
          </w:p>
        </w:tc>
      </w:tr>
      <w:tr w:rsidR="00457EFD" w:rsidRPr="005B6540" w:rsidTr="00AE2579">
        <w:trPr>
          <w:trHeight w:val="878"/>
        </w:trPr>
        <w:tc>
          <w:tcPr>
            <w:tcW w:w="8686" w:type="dxa"/>
            <w:gridSpan w:val="10"/>
            <w:shd w:val="clear" w:color="auto" w:fill="auto"/>
          </w:tcPr>
          <w:p w:rsidR="00A1272F" w:rsidRDefault="00A1272F" w:rsidP="006240A2"/>
          <w:p w:rsidR="00457EFD" w:rsidRDefault="00A1272F" w:rsidP="006240A2">
            <w:r>
              <w:t>Faculty Qualifications Paperwork</w:t>
            </w:r>
          </w:p>
          <w:p w:rsidR="00F92AFC" w:rsidRDefault="00F92AFC" w:rsidP="006240A2">
            <w:pPr>
              <w:rPr>
                <w:color w:val="FFC000"/>
              </w:rPr>
            </w:pPr>
            <w:r>
              <w:rPr>
                <w:color w:val="FFC000"/>
              </w:rPr>
              <w:t xml:space="preserve">In the past, when the form was filled out they were sent to HR. Elaine is done with those that were in jeopardy from the last review and the FT Faculty. Rick </w:t>
            </w:r>
            <w:r w:rsidR="00AB09DF">
              <w:rPr>
                <w:color w:val="FFC000"/>
              </w:rPr>
              <w:t xml:space="preserve">is done with the FT, but is now working on the Exceptions List. He has notified all exceptions except one. Ashley is basically done. The BOL faculty is returning them quickly. She had only one exception and a few nighttime adjuncts she is trying to get ahold of. </w:t>
            </w:r>
          </w:p>
          <w:p w:rsidR="00AB09DF" w:rsidRDefault="00AB09DF" w:rsidP="006240A2">
            <w:pPr>
              <w:rPr>
                <w:color w:val="FFC000"/>
              </w:rPr>
            </w:pPr>
            <w:r>
              <w:rPr>
                <w:color w:val="FFC000"/>
              </w:rPr>
              <w:t xml:space="preserve">Bill is done. </w:t>
            </w:r>
          </w:p>
          <w:p w:rsidR="00AB09DF" w:rsidRDefault="00AB09DF" w:rsidP="006240A2">
            <w:pPr>
              <w:rPr>
                <w:color w:val="FFC000"/>
              </w:rPr>
            </w:pPr>
            <w:r>
              <w:rPr>
                <w:color w:val="FFC000"/>
              </w:rPr>
              <w:t>Everyone send spreadsheets to Rayna to be compiled for overall review.</w:t>
            </w:r>
          </w:p>
          <w:p w:rsidR="00AB09DF" w:rsidRDefault="00AB09DF" w:rsidP="006240A2">
            <w:pPr>
              <w:rPr>
                <w:color w:val="FFC000"/>
              </w:rPr>
            </w:pPr>
            <w:r>
              <w:rPr>
                <w:color w:val="FFC000"/>
              </w:rPr>
              <w:t xml:space="preserve">Once Dr. Garrett signs and they are sent back to departments – the department needs to send a copy to HR. </w:t>
            </w:r>
          </w:p>
          <w:p w:rsidR="00AB09DF" w:rsidRPr="00F92AFC" w:rsidRDefault="00AB09DF" w:rsidP="00AF04C5">
            <w:pPr>
              <w:rPr>
                <w:color w:val="FFC000"/>
              </w:rPr>
            </w:pPr>
            <w:r>
              <w:rPr>
                <w:color w:val="FFC000"/>
              </w:rPr>
              <w:t xml:space="preserve">Elaine asked if the HR Hiring Qualifications Guiding Document could add some narrative to their list. </w:t>
            </w:r>
          </w:p>
        </w:tc>
        <w:tc>
          <w:tcPr>
            <w:tcW w:w="2257" w:type="dxa"/>
            <w:shd w:val="clear" w:color="auto" w:fill="auto"/>
          </w:tcPr>
          <w:p w:rsidR="00A1272F" w:rsidRDefault="00A1272F" w:rsidP="006240A2">
            <w:pPr>
              <w:jc w:val="center"/>
            </w:pPr>
          </w:p>
          <w:p w:rsidR="00457EFD" w:rsidRDefault="00A1272F" w:rsidP="006240A2">
            <w:pPr>
              <w:jc w:val="center"/>
            </w:pPr>
            <w:r>
              <w:t>Dr. Garrett</w:t>
            </w:r>
          </w:p>
        </w:tc>
      </w:tr>
      <w:tr w:rsidR="005601C5" w:rsidRPr="005B6540" w:rsidTr="00AE2579">
        <w:trPr>
          <w:trHeight w:val="878"/>
        </w:trPr>
        <w:tc>
          <w:tcPr>
            <w:tcW w:w="8686" w:type="dxa"/>
            <w:gridSpan w:val="10"/>
            <w:shd w:val="clear" w:color="auto" w:fill="auto"/>
          </w:tcPr>
          <w:p w:rsidR="005601C5" w:rsidRDefault="001514E0" w:rsidP="006240A2">
            <w:r>
              <w:t>ENDS Presentation</w:t>
            </w:r>
          </w:p>
          <w:p w:rsidR="001514E0" w:rsidRPr="001514E0" w:rsidRDefault="001514E0" w:rsidP="006240A2">
            <w:pPr>
              <w:rPr>
                <w:color w:val="FFC000"/>
              </w:rPr>
            </w:pPr>
            <w:r>
              <w:rPr>
                <w:color w:val="FFC000"/>
              </w:rPr>
              <w:t>Dr. Garrett will compile info from Rick, Elaine and Ashley to present to Board.</w:t>
            </w:r>
          </w:p>
        </w:tc>
        <w:tc>
          <w:tcPr>
            <w:tcW w:w="2257" w:type="dxa"/>
            <w:shd w:val="clear" w:color="auto" w:fill="auto"/>
          </w:tcPr>
          <w:p w:rsidR="005601C5" w:rsidRDefault="005601C5" w:rsidP="006240A2">
            <w:pPr>
              <w:jc w:val="center"/>
            </w:pPr>
          </w:p>
        </w:tc>
      </w:tr>
      <w:tr w:rsidR="005601C5" w:rsidRPr="005B6540" w:rsidTr="00AE2579">
        <w:trPr>
          <w:trHeight w:val="878"/>
        </w:trPr>
        <w:tc>
          <w:tcPr>
            <w:tcW w:w="8686" w:type="dxa"/>
            <w:gridSpan w:val="10"/>
            <w:shd w:val="clear" w:color="auto" w:fill="auto"/>
          </w:tcPr>
          <w:p w:rsidR="005601C5" w:rsidRDefault="001514E0" w:rsidP="006240A2">
            <w:r>
              <w:t xml:space="preserve">CCSSE </w:t>
            </w:r>
          </w:p>
          <w:p w:rsidR="001514E0" w:rsidRPr="001514E0" w:rsidRDefault="001514E0" w:rsidP="001514E0">
            <w:pPr>
              <w:rPr>
                <w:color w:val="FFC000"/>
              </w:rPr>
            </w:pPr>
            <w:r>
              <w:rPr>
                <w:color w:val="FFC000"/>
              </w:rPr>
              <w:t>Dr. Garrett shared discussion from the OAC meeting regarding involving faculty/staff in the process of evaluating CCSSE data. We need to be using the data in these assessments. We also need to involve the Fort in this process.</w:t>
            </w:r>
          </w:p>
        </w:tc>
        <w:tc>
          <w:tcPr>
            <w:tcW w:w="2257" w:type="dxa"/>
            <w:shd w:val="clear" w:color="auto" w:fill="auto"/>
          </w:tcPr>
          <w:p w:rsidR="005601C5" w:rsidRDefault="005601C5" w:rsidP="006240A2">
            <w:pPr>
              <w:jc w:val="center"/>
            </w:pPr>
          </w:p>
        </w:tc>
      </w:tr>
      <w:tr w:rsidR="001514E0" w:rsidRPr="005B6540" w:rsidTr="00AE2579">
        <w:trPr>
          <w:trHeight w:val="878"/>
        </w:trPr>
        <w:tc>
          <w:tcPr>
            <w:tcW w:w="8686" w:type="dxa"/>
            <w:gridSpan w:val="10"/>
            <w:shd w:val="clear" w:color="auto" w:fill="auto"/>
          </w:tcPr>
          <w:p w:rsidR="001514E0" w:rsidRDefault="001514E0" w:rsidP="006240A2">
            <w:r>
              <w:lastRenderedPageBreak/>
              <w:t>Balloon Drop</w:t>
            </w:r>
          </w:p>
          <w:p w:rsidR="001514E0" w:rsidRPr="001514E0" w:rsidRDefault="001514E0" w:rsidP="006240A2">
            <w:pPr>
              <w:rPr>
                <w:color w:val="FFC000"/>
              </w:rPr>
            </w:pPr>
            <w:r>
              <w:rPr>
                <w:color w:val="FFC000"/>
              </w:rPr>
              <w:t>Why is the Balloon Drop being canceled? Brandon felt they could not be dropped in an organized manner so it was eliminated yesterday or today. Angie M is going to investigate further.</w:t>
            </w:r>
          </w:p>
        </w:tc>
        <w:tc>
          <w:tcPr>
            <w:tcW w:w="2257" w:type="dxa"/>
            <w:shd w:val="clear" w:color="auto" w:fill="auto"/>
          </w:tcPr>
          <w:p w:rsidR="001514E0" w:rsidRDefault="001514E0" w:rsidP="006240A2">
            <w:pPr>
              <w:jc w:val="center"/>
            </w:pPr>
          </w:p>
        </w:tc>
      </w:tr>
      <w:tr w:rsidR="001514E0" w:rsidRPr="005B6540" w:rsidTr="00AE2579">
        <w:trPr>
          <w:trHeight w:val="878"/>
        </w:trPr>
        <w:tc>
          <w:tcPr>
            <w:tcW w:w="8686" w:type="dxa"/>
            <w:gridSpan w:val="10"/>
            <w:shd w:val="clear" w:color="auto" w:fill="auto"/>
          </w:tcPr>
          <w:p w:rsidR="001514E0" w:rsidRDefault="001514E0" w:rsidP="006240A2">
            <w:r>
              <w:t>Faculty Resource Center</w:t>
            </w:r>
          </w:p>
          <w:p w:rsidR="001514E0" w:rsidRPr="001514E0" w:rsidRDefault="001514E0" w:rsidP="006240A2">
            <w:pPr>
              <w:rPr>
                <w:color w:val="FFC000"/>
              </w:rPr>
            </w:pPr>
            <w:r>
              <w:rPr>
                <w:color w:val="FFC000"/>
              </w:rPr>
              <w:t xml:space="preserve">Dr. Heilman and Dr. Garrett have been talking about </w:t>
            </w:r>
            <w:r w:rsidR="009E59A2">
              <w:rPr>
                <w:color w:val="FFC000"/>
              </w:rPr>
              <w:t>a new constant/permanent Professional Development position to assist Faculty – the creation of a new position to comply with HLC recommendations. For every 1 FT we have 2.3 PT employees. We are on the higher side. Robin feels we need more FT. The Deans support creation of a new position for this role. HLC requires that we document how instructors interact with students to meet credit hour requirements. (Substantive Interaction)</w:t>
            </w:r>
          </w:p>
        </w:tc>
        <w:tc>
          <w:tcPr>
            <w:tcW w:w="2257" w:type="dxa"/>
            <w:shd w:val="clear" w:color="auto" w:fill="auto"/>
          </w:tcPr>
          <w:p w:rsidR="001514E0" w:rsidRDefault="001514E0" w:rsidP="006240A2">
            <w:pPr>
              <w:jc w:val="center"/>
            </w:pPr>
          </w:p>
        </w:tc>
      </w:tr>
      <w:tr w:rsidR="009E59A2" w:rsidRPr="005B6540" w:rsidTr="00AE2579">
        <w:trPr>
          <w:trHeight w:val="878"/>
        </w:trPr>
        <w:tc>
          <w:tcPr>
            <w:tcW w:w="8686" w:type="dxa"/>
            <w:gridSpan w:val="10"/>
            <w:shd w:val="clear" w:color="auto" w:fill="auto"/>
          </w:tcPr>
          <w:p w:rsidR="009E59A2" w:rsidRDefault="009E59A2" w:rsidP="006240A2">
            <w:r>
              <w:t>All Faculty Meeting to be held May 13.</w:t>
            </w:r>
          </w:p>
          <w:p w:rsidR="009E59A2" w:rsidRDefault="009E59A2" w:rsidP="006240A2">
            <w:pPr>
              <w:rPr>
                <w:color w:val="FFC000"/>
              </w:rPr>
            </w:pPr>
            <w:r>
              <w:rPr>
                <w:color w:val="FFC000"/>
              </w:rPr>
              <w:t>Robin introduced numbers for load</w:t>
            </w:r>
            <w:r w:rsidR="00CB7F5D">
              <w:rPr>
                <w:color w:val="FFC000"/>
              </w:rPr>
              <w:t>/compensation.  Robin set forth the needs we are striving to meet.</w:t>
            </w:r>
          </w:p>
          <w:p w:rsidR="00CB7F5D" w:rsidRDefault="00CB7F5D" w:rsidP="006240A2">
            <w:pPr>
              <w:rPr>
                <w:color w:val="FFC000"/>
              </w:rPr>
            </w:pPr>
            <w:r>
              <w:rPr>
                <w:color w:val="FFC000"/>
              </w:rPr>
              <w:t xml:space="preserve">Robin refers to the Conflict of Interest Policy. Everyone who is teaching Overload without permission is going against this policy. </w:t>
            </w:r>
          </w:p>
          <w:p w:rsidR="00BD20C0" w:rsidRDefault="00CB7F5D" w:rsidP="006240A2">
            <w:pPr>
              <w:rPr>
                <w:color w:val="FFC000"/>
              </w:rPr>
            </w:pPr>
            <w:r>
              <w:rPr>
                <w:color w:val="FFC000"/>
              </w:rPr>
              <w:t>The Dean should be signing off on these. Robin went in to detail explaining the need of disclosing a 2</w:t>
            </w:r>
            <w:r w:rsidRPr="00CB7F5D">
              <w:rPr>
                <w:color w:val="FFC000"/>
                <w:vertAlign w:val="superscript"/>
              </w:rPr>
              <w:t>nd</w:t>
            </w:r>
            <w:r>
              <w:rPr>
                <w:color w:val="FFC000"/>
              </w:rPr>
              <w:t xml:space="preserve"> job in order that we can evaluate any issues of time constrain</w:t>
            </w:r>
            <w:r w:rsidR="00BD20C0">
              <w:rPr>
                <w:color w:val="FFC000"/>
              </w:rPr>
              <w:t xml:space="preserve">t. This discussion applies to FT employees. </w:t>
            </w:r>
          </w:p>
          <w:p w:rsidR="00BD20C0" w:rsidRDefault="00BD20C0" w:rsidP="006240A2">
            <w:pPr>
              <w:rPr>
                <w:color w:val="FFC000"/>
              </w:rPr>
            </w:pPr>
            <w:r>
              <w:rPr>
                <w:color w:val="FFC000"/>
              </w:rPr>
              <w:t xml:space="preserve">$600 per cr hour + $150 per cr stipend online with a min of 10 students with documented exceptions. Less than 10 instructor has the right to accept a prorated amount of pay. If instructor refuses the class will be canceled.  Max class size is 40. Lead online instructor will get an additional flat $200 to support staff – must be 40 before divided. For Fall 2016 there will not be a load limit. However, pay and class size will go into effect in the Fall. For Spring 2017 all FT Faculty will have max load of 90 (including contract). Max credit for each long semester is 33. </w:t>
            </w:r>
            <w:r w:rsidR="00813282">
              <w:rPr>
                <w:color w:val="FFC000"/>
              </w:rPr>
              <w:t xml:space="preserve">Max class in intersession is 2 classes. Max classes at any given time is 9 classes. Adjuncts max of 63 cr hours per academic year. Max cr hours long semester is 23. 5 classes in summer. 2 classes in intersession Max of 6 at any time. FT staff as adjunct max at any time 4 classes. </w:t>
            </w:r>
          </w:p>
          <w:p w:rsidR="00813282" w:rsidRDefault="00813282" w:rsidP="006240A2">
            <w:pPr>
              <w:rPr>
                <w:color w:val="FFC000"/>
              </w:rPr>
            </w:pPr>
            <w:r>
              <w:rPr>
                <w:color w:val="FFC000"/>
              </w:rPr>
              <w:t xml:space="preserve">Fall 2017 additional load reductions will be put in place. </w:t>
            </w:r>
          </w:p>
          <w:p w:rsidR="00813282" w:rsidRDefault="00813282" w:rsidP="006240A2">
            <w:pPr>
              <w:rPr>
                <w:color w:val="FFC000"/>
              </w:rPr>
            </w:pPr>
            <w:r>
              <w:rPr>
                <w:color w:val="FFC000"/>
              </w:rPr>
              <w:t xml:space="preserve">Ange wanted to know if Dr. Garrett is concerned with inequities in credit hours between campuses. Fort Riley faces the issue of being self-sustaining in this respect. </w:t>
            </w:r>
          </w:p>
          <w:p w:rsidR="000D2DD6" w:rsidRPr="009E59A2" w:rsidRDefault="000D2DD6" w:rsidP="006240A2">
            <w:pPr>
              <w:rPr>
                <w:color w:val="FFC000"/>
              </w:rPr>
            </w:pPr>
            <w:r>
              <w:rPr>
                <w:color w:val="FFC000"/>
              </w:rPr>
              <w:t xml:space="preserve">Elaine believes a handout at the Forum would be beneficial. </w:t>
            </w:r>
          </w:p>
        </w:tc>
        <w:tc>
          <w:tcPr>
            <w:tcW w:w="2257" w:type="dxa"/>
            <w:shd w:val="clear" w:color="auto" w:fill="auto"/>
          </w:tcPr>
          <w:p w:rsidR="009E59A2" w:rsidRDefault="009E59A2" w:rsidP="006240A2">
            <w:pPr>
              <w:jc w:val="center"/>
            </w:pPr>
          </w:p>
        </w:tc>
      </w:tr>
    </w:tbl>
    <w:p w:rsidR="00505EAD" w:rsidRDefault="00505EAD" w:rsidP="00505EAD"/>
    <w:p w:rsidR="008D76C3" w:rsidRDefault="008D76C3" w:rsidP="00505EAD"/>
    <w:p w:rsidR="00A1272F" w:rsidRDefault="00A1272F" w:rsidP="00505EAD">
      <w:bookmarkStart w:id="0" w:name="_GoBack"/>
      <w:bookmarkEnd w:id="0"/>
    </w:p>
    <w:p w:rsidR="00E838FF" w:rsidRDefault="00E838FF" w:rsidP="00505EAD">
      <w:pPr>
        <w:rPr>
          <w:rFonts w:ascii="Arial" w:hAnsi="Arial"/>
          <w:b/>
          <w:bCs/>
          <w:color w:val="000000"/>
          <w:u w:val="single"/>
        </w:rPr>
      </w:pPr>
    </w:p>
    <w:p w:rsidR="00505EAD" w:rsidRDefault="00505EAD" w:rsidP="00505EAD">
      <w:pPr>
        <w:rPr>
          <w:rFonts w:ascii="Arial" w:hAnsi="Arial"/>
          <w:b/>
          <w:bCs/>
          <w:color w:val="000000"/>
          <w:sz w:val="22"/>
          <w:szCs w:val="22"/>
        </w:rPr>
      </w:pPr>
      <w:r>
        <w:rPr>
          <w:rFonts w:ascii="Arial" w:hAnsi="Arial"/>
          <w:b/>
          <w:bCs/>
          <w:color w:val="000000"/>
          <w:u w:val="single"/>
        </w:rPr>
        <w:t>ENDS</w:t>
      </w:r>
      <w:r>
        <w:rPr>
          <w:rFonts w:ascii="Arial" w:hAnsi="Arial"/>
          <w:b/>
          <w:bCs/>
          <w:color w:val="000000"/>
        </w:rPr>
        <w:t>:</w:t>
      </w:r>
    </w:p>
    <w:p w:rsidR="00505EAD" w:rsidRDefault="00505EAD" w:rsidP="00505EAD">
      <w:pPr>
        <w:ind w:left="450"/>
        <w:rPr>
          <w:rFonts w:ascii="Arial" w:hAnsi="Arial"/>
          <w:b/>
          <w:bCs/>
          <w:color w:val="000000"/>
        </w:rPr>
      </w:pPr>
      <w:r>
        <w:rPr>
          <w:rFonts w:ascii="Arial" w:hAnsi="Arial"/>
          <w:b/>
          <w:bCs/>
          <w:color w:val="000000"/>
        </w:rPr>
        <w:t>ESSENTIAL SKILLS                             “BARTON EXPERIENCE”</w:t>
      </w:r>
    </w:p>
    <w:p w:rsidR="00505EAD" w:rsidRDefault="00505EAD" w:rsidP="00505EAD">
      <w:pPr>
        <w:jc w:val="both"/>
        <w:rPr>
          <w:rFonts w:ascii="Arial" w:hAnsi="Arial"/>
          <w:b/>
          <w:bCs/>
          <w:color w:val="000000"/>
        </w:rPr>
      </w:pPr>
      <w:r>
        <w:rPr>
          <w:rFonts w:ascii="Arial" w:hAnsi="Arial"/>
          <w:b/>
          <w:bCs/>
          <w:color w:val="000000"/>
        </w:rPr>
        <w:t xml:space="preserve">        WORK PREPAREDNESS                    REGIONAL WORKFORCE NEEDS                        </w:t>
      </w:r>
    </w:p>
    <w:p w:rsidR="00505EAD" w:rsidRDefault="00505EAD" w:rsidP="00505EAD">
      <w:pPr>
        <w:jc w:val="both"/>
        <w:rPr>
          <w:rFonts w:ascii="Arial" w:hAnsi="Arial"/>
          <w:b/>
          <w:bCs/>
          <w:color w:val="000000"/>
        </w:rPr>
      </w:pPr>
      <w:r>
        <w:rPr>
          <w:rFonts w:ascii="Arial" w:hAnsi="Arial"/>
          <w:b/>
          <w:bCs/>
          <w:color w:val="000000"/>
        </w:rPr>
        <w:t xml:space="preserve">        ACADEMIC ADVANCEMENT             SERVICE REGIONS </w:t>
      </w:r>
    </w:p>
    <w:p w:rsidR="00505EAD" w:rsidRDefault="00505EAD" w:rsidP="00505EAD">
      <w:pPr>
        <w:ind w:left="450"/>
        <w:rPr>
          <w:rFonts w:ascii="Arial" w:hAnsi="Arial"/>
          <w:b/>
          <w:bCs/>
          <w:color w:val="000000"/>
        </w:rPr>
      </w:pPr>
      <w:r>
        <w:rPr>
          <w:rFonts w:ascii="Arial" w:hAnsi="Arial"/>
          <w:b/>
          <w:bCs/>
          <w:color w:val="000000"/>
        </w:rPr>
        <w:t>PERSONAL ENRICHMENT                 STRATEGIC PLANNING</w:t>
      </w:r>
    </w:p>
    <w:p w:rsidR="00505EAD" w:rsidRDefault="00505EAD" w:rsidP="00505EAD">
      <w:pPr>
        <w:ind w:left="450"/>
        <w:rPr>
          <w:rFonts w:ascii="Arial" w:hAnsi="Arial"/>
          <w:b/>
          <w:bCs/>
        </w:rPr>
      </w:pPr>
      <w:r>
        <w:rPr>
          <w:rFonts w:ascii="Arial" w:hAnsi="Arial"/>
          <w:b/>
          <w:bCs/>
        </w:rPr>
        <w:t>CONTINGENCY PLANNING</w:t>
      </w:r>
    </w:p>
    <w:p w:rsidR="00505EAD" w:rsidRDefault="00505EAD" w:rsidP="00505EAD">
      <w:pPr>
        <w:ind w:left="450"/>
        <w:rPr>
          <w:rFonts w:ascii="Arial" w:hAnsi="Arial"/>
          <w:b/>
          <w:bCs/>
        </w:rPr>
      </w:pPr>
      <w:r>
        <w:rPr>
          <w:rFonts w:cs="Times New Roman"/>
          <w:noProof/>
        </w:rPr>
        <w:drawing>
          <wp:anchor distT="0" distB="0" distL="114300" distR="114300" simplePos="0" relativeHeight="251659264" behindDoc="0" locked="0" layoutInCell="1" allowOverlap="1">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505EAD" w:rsidRDefault="00505EAD" w:rsidP="00505EAD">
      <w:pPr>
        <w:autoSpaceDE w:val="0"/>
        <w:autoSpaceDN w:val="0"/>
        <w:rPr>
          <w:rFonts w:ascii="Arial" w:hAnsi="Arial"/>
          <w:b/>
          <w:bCs/>
          <w:i/>
          <w:iCs/>
          <w:color w:val="0070C0"/>
        </w:rPr>
      </w:pPr>
      <w:r>
        <w:rPr>
          <w:rFonts w:ascii="Arial" w:hAnsi="Arial"/>
          <w:b/>
          <w:bCs/>
          <w:i/>
          <w:iCs/>
          <w:color w:val="0070C0"/>
        </w:rPr>
        <w:t xml:space="preserve">Barton Core Priorities/Strategic Plan Goals </w:t>
      </w:r>
    </w:p>
    <w:p w:rsidR="00505EAD" w:rsidRDefault="00505EAD" w:rsidP="00505EAD">
      <w:pPr>
        <w:autoSpaceDE w:val="0"/>
        <w:autoSpaceDN w:val="0"/>
        <w:rPr>
          <w:rFonts w:ascii="Arial" w:hAnsi="Arial"/>
          <w:b/>
          <w:bCs/>
          <w:color w:val="000000"/>
          <w:sz w:val="20"/>
          <w:szCs w:val="20"/>
        </w:rPr>
      </w:pPr>
    </w:p>
    <w:p w:rsidR="00505EAD" w:rsidRDefault="00505EAD" w:rsidP="00505EAD">
      <w:pPr>
        <w:autoSpaceDE w:val="0"/>
        <w:autoSpaceDN w:val="0"/>
        <w:rPr>
          <w:rFonts w:ascii="Arial" w:hAnsi="Arial"/>
          <w:i/>
          <w:iCs/>
          <w:color w:val="000000"/>
          <w:sz w:val="20"/>
          <w:szCs w:val="20"/>
        </w:rPr>
      </w:pPr>
      <w:r>
        <w:rPr>
          <w:rFonts w:ascii="Arial" w:hAnsi="Arial"/>
          <w:b/>
          <w:bCs/>
          <w:i/>
          <w:iCs/>
          <w:color w:val="000000"/>
          <w:sz w:val="20"/>
          <w:szCs w:val="20"/>
        </w:rPr>
        <w:t xml:space="preserve">Drive Student Success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1. Increase student retention and completion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2. Enhance the Quality of Teaching and Learning </w:t>
      </w:r>
    </w:p>
    <w:p w:rsidR="00505EAD" w:rsidRDefault="00505EAD" w:rsidP="00505EAD">
      <w:pPr>
        <w:autoSpaceDE w:val="0"/>
        <w:autoSpaceDN w:val="0"/>
        <w:rPr>
          <w:rFonts w:ascii="Arial" w:hAnsi="Arial"/>
          <w:color w:val="000000"/>
          <w:sz w:val="20"/>
          <w:szCs w:val="20"/>
        </w:rPr>
      </w:pPr>
    </w:p>
    <w:p w:rsidR="00505EAD" w:rsidRDefault="00505EAD" w:rsidP="00505EAD">
      <w:pPr>
        <w:autoSpaceDE w:val="0"/>
        <w:autoSpaceDN w:val="0"/>
        <w:rPr>
          <w:rFonts w:ascii="Arial" w:hAnsi="Arial"/>
          <w:i/>
          <w:iCs/>
          <w:color w:val="000000"/>
          <w:sz w:val="20"/>
          <w:szCs w:val="20"/>
        </w:rPr>
      </w:pPr>
      <w:r>
        <w:rPr>
          <w:rFonts w:ascii="Arial" w:hAnsi="Arial"/>
          <w:b/>
          <w:bCs/>
          <w:i/>
          <w:iCs/>
          <w:color w:val="000000"/>
          <w:sz w:val="20"/>
          <w:szCs w:val="20"/>
        </w:rPr>
        <w:t xml:space="preserve">Cultivate Community Engagement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3. Enhance Internal Communication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4. Enhance External Communication </w:t>
      </w:r>
    </w:p>
    <w:p w:rsidR="00505EAD" w:rsidRDefault="00505EAD" w:rsidP="00505EAD">
      <w:pPr>
        <w:autoSpaceDE w:val="0"/>
        <w:autoSpaceDN w:val="0"/>
        <w:rPr>
          <w:rFonts w:ascii="Arial" w:hAnsi="Arial"/>
          <w:color w:val="000000"/>
          <w:sz w:val="20"/>
          <w:szCs w:val="20"/>
        </w:rPr>
      </w:pPr>
    </w:p>
    <w:p w:rsidR="00505EAD" w:rsidRDefault="00505EAD" w:rsidP="00505EAD">
      <w:pPr>
        <w:autoSpaceDE w:val="0"/>
        <w:autoSpaceDN w:val="0"/>
        <w:rPr>
          <w:rFonts w:ascii="Arial" w:hAnsi="Arial"/>
          <w:i/>
          <w:iCs/>
          <w:color w:val="000000"/>
          <w:sz w:val="20"/>
          <w:szCs w:val="20"/>
        </w:rPr>
      </w:pPr>
      <w:r>
        <w:rPr>
          <w:rFonts w:ascii="Arial" w:hAnsi="Arial"/>
          <w:b/>
          <w:bCs/>
          <w:i/>
          <w:iCs/>
          <w:color w:val="000000"/>
          <w:sz w:val="20"/>
          <w:szCs w:val="20"/>
        </w:rPr>
        <w:t xml:space="preserve">Emphasize Institutional Effectiveness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5. Initiate periodic review of the Mission Statement and Vision Statement.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6. Through professional development, identify and create a training for understanding and use of process improvement methodologies. </w:t>
      </w:r>
    </w:p>
    <w:p w:rsidR="00505EAD" w:rsidRDefault="00505EAD" w:rsidP="00505EAD">
      <w:pPr>
        <w:autoSpaceDE w:val="0"/>
        <w:autoSpaceDN w:val="0"/>
        <w:rPr>
          <w:rFonts w:ascii="Arial" w:hAnsi="Arial"/>
          <w:color w:val="000000"/>
          <w:sz w:val="20"/>
          <w:szCs w:val="20"/>
        </w:rPr>
      </w:pPr>
    </w:p>
    <w:p w:rsidR="00505EAD" w:rsidRDefault="00505EAD" w:rsidP="00505EAD">
      <w:pPr>
        <w:autoSpaceDE w:val="0"/>
        <w:autoSpaceDN w:val="0"/>
        <w:rPr>
          <w:rFonts w:ascii="Arial" w:hAnsi="Arial"/>
          <w:i/>
          <w:iCs/>
          <w:color w:val="000000"/>
          <w:sz w:val="20"/>
          <w:szCs w:val="20"/>
        </w:rPr>
      </w:pPr>
      <w:r>
        <w:rPr>
          <w:rFonts w:ascii="Arial" w:hAnsi="Arial"/>
          <w:b/>
          <w:bCs/>
          <w:i/>
          <w:iCs/>
          <w:color w:val="000000"/>
          <w:sz w:val="20"/>
          <w:szCs w:val="20"/>
        </w:rPr>
        <w:t xml:space="preserve">Optimize Employee Experience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7. Develop more consistent &amp; robust employee orientation.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8. Enhance professional development system.</w:t>
      </w:r>
    </w:p>
    <w:p w:rsidR="00505EAD" w:rsidRDefault="00505EAD" w:rsidP="00505EAD">
      <w:pPr>
        <w:rPr>
          <w:rFonts w:cs="Times New Roman"/>
          <w:sz w:val="22"/>
          <w:szCs w:val="22"/>
        </w:rPr>
      </w:pPr>
    </w:p>
    <w:p w:rsidR="00505EAD" w:rsidRPr="005B6540" w:rsidRDefault="00505EAD" w:rsidP="00AA4FFC"/>
    <w:sectPr w:rsidR="00505EAD" w:rsidRPr="005B6540"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79C" w:rsidRDefault="0099779C" w:rsidP="00F24EDF">
      <w:r>
        <w:separator/>
      </w:r>
    </w:p>
  </w:endnote>
  <w:endnote w:type="continuationSeparator" w:id="0">
    <w:p w:rsidR="0099779C" w:rsidRDefault="0099779C"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79C" w:rsidRDefault="0099779C" w:rsidP="00F24EDF">
      <w:r>
        <w:separator/>
      </w:r>
    </w:p>
  </w:footnote>
  <w:footnote w:type="continuationSeparator" w:id="0">
    <w:p w:rsidR="0099779C" w:rsidRDefault="0099779C" w:rsidP="00F24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6D56"/>
    <w:rsid w:val="00006F28"/>
    <w:rsid w:val="000077ED"/>
    <w:rsid w:val="0001084E"/>
    <w:rsid w:val="00011671"/>
    <w:rsid w:val="00012E0C"/>
    <w:rsid w:val="00014489"/>
    <w:rsid w:val="00014850"/>
    <w:rsid w:val="0001497A"/>
    <w:rsid w:val="00015140"/>
    <w:rsid w:val="00017CBB"/>
    <w:rsid w:val="000200E9"/>
    <w:rsid w:val="0002134B"/>
    <w:rsid w:val="00023026"/>
    <w:rsid w:val="00026675"/>
    <w:rsid w:val="00026F24"/>
    <w:rsid w:val="00030205"/>
    <w:rsid w:val="000309DE"/>
    <w:rsid w:val="00033468"/>
    <w:rsid w:val="000342FD"/>
    <w:rsid w:val="00041D07"/>
    <w:rsid w:val="0004265C"/>
    <w:rsid w:val="00042900"/>
    <w:rsid w:val="00044106"/>
    <w:rsid w:val="00044E24"/>
    <w:rsid w:val="000474BC"/>
    <w:rsid w:val="0004758F"/>
    <w:rsid w:val="0004774A"/>
    <w:rsid w:val="00050A34"/>
    <w:rsid w:val="00051824"/>
    <w:rsid w:val="00054F47"/>
    <w:rsid w:val="00056F48"/>
    <w:rsid w:val="000576A8"/>
    <w:rsid w:val="00064817"/>
    <w:rsid w:val="000660D4"/>
    <w:rsid w:val="00066137"/>
    <w:rsid w:val="00066651"/>
    <w:rsid w:val="000720B6"/>
    <w:rsid w:val="00072D7F"/>
    <w:rsid w:val="000745A6"/>
    <w:rsid w:val="00074C3F"/>
    <w:rsid w:val="00074FDB"/>
    <w:rsid w:val="00075628"/>
    <w:rsid w:val="00076E5A"/>
    <w:rsid w:val="00081505"/>
    <w:rsid w:val="00082196"/>
    <w:rsid w:val="00082849"/>
    <w:rsid w:val="00083F7A"/>
    <w:rsid w:val="00084428"/>
    <w:rsid w:val="00086270"/>
    <w:rsid w:val="00087E15"/>
    <w:rsid w:val="000929E0"/>
    <w:rsid w:val="000931F9"/>
    <w:rsid w:val="00095654"/>
    <w:rsid w:val="00095C6D"/>
    <w:rsid w:val="0009665C"/>
    <w:rsid w:val="0009706E"/>
    <w:rsid w:val="000978CF"/>
    <w:rsid w:val="000A005F"/>
    <w:rsid w:val="000A292B"/>
    <w:rsid w:val="000A2DE3"/>
    <w:rsid w:val="000A49F5"/>
    <w:rsid w:val="000A4C06"/>
    <w:rsid w:val="000A6683"/>
    <w:rsid w:val="000B3717"/>
    <w:rsid w:val="000B426B"/>
    <w:rsid w:val="000B4A7C"/>
    <w:rsid w:val="000B5255"/>
    <w:rsid w:val="000B53D2"/>
    <w:rsid w:val="000B5AEE"/>
    <w:rsid w:val="000C088E"/>
    <w:rsid w:val="000C1A95"/>
    <w:rsid w:val="000C264E"/>
    <w:rsid w:val="000C3CFD"/>
    <w:rsid w:val="000C4307"/>
    <w:rsid w:val="000C6D7B"/>
    <w:rsid w:val="000C73D0"/>
    <w:rsid w:val="000D1232"/>
    <w:rsid w:val="000D1323"/>
    <w:rsid w:val="000D132A"/>
    <w:rsid w:val="000D1C7B"/>
    <w:rsid w:val="000D2C5C"/>
    <w:rsid w:val="000D2DD6"/>
    <w:rsid w:val="000D6009"/>
    <w:rsid w:val="000D6A6B"/>
    <w:rsid w:val="000D6D1E"/>
    <w:rsid w:val="000D7B67"/>
    <w:rsid w:val="000D7F01"/>
    <w:rsid w:val="000E041F"/>
    <w:rsid w:val="000E590B"/>
    <w:rsid w:val="000E79ED"/>
    <w:rsid w:val="000F360A"/>
    <w:rsid w:val="000F44AF"/>
    <w:rsid w:val="000F4ECB"/>
    <w:rsid w:val="000F68F4"/>
    <w:rsid w:val="0010069B"/>
    <w:rsid w:val="00101417"/>
    <w:rsid w:val="0010217F"/>
    <w:rsid w:val="00103170"/>
    <w:rsid w:val="00104108"/>
    <w:rsid w:val="00105770"/>
    <w:rsid w:val="00105824"/>
    <w:rsid w:val="00113784"/>
    <w:rsid w:val="001147CA"/>
    <w:rsid w:val="001148C3"/>
    <w:rsid w:val="00114D7D"/>
    <w:rsid w:val="001157E3"/>
    <w:rsid w:val="00122A38"/>
    <w:rsid w:val="00123E31"/>
    <w:rsid w:val="001242E4"/>
    <w:rsid w:val="00124990"/>
    <w:rsid w:val="00124F92"/>
    <w:rsid w:val="00126201"/>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101D"/>
    <w:rsid w:val="001514E0"/>
    <w:rsid w:val="0015169A"/>
    <w:rsid w:val="001519C9"/>
    <w:rsid w:val="00151D93"/>
    <w:rsid w:val="00153F25"/>
    <w:rsid w:val="00154B2D"/>
    <w:rsid w:val="00156D4C"/>
    <w:rsid w:val="001570E1"/>
    <w:rsid w:val="001579BA"/>
    <w:rsid w:val="00160538"/>
    <w:rsid w:val="001651E7"/>
    <w:rsid w:val="00165593"/>
    <w:rsid w:val="001700EC"/>
    <w:rsid w:val="00170E65"/>
    <w:rsid w:val="00171A0F"/>
    <w:rsid w:val="00171DE4"/>
    <w:rsid w:val="00172333"/>
    <w:rsid w:val="001727AE"/>
    <w:rsid w:val="00173405"/>
    <w:rsid w:val="00176AAC"/>
    <w:rsid w:val="001811C1"/>
    <w:rsid w:val="00181409"/>
    <w:rsid w:val="00183032"/>
    <w:rsid w:val="00183EE2"/>
    <w:rsid w:val="0018465A"/>
    <w:rsid w:val="00187A1D"/>
    <w:rsid w:val="00187A55"/>
    <w:rsid w:val="00187D17"/>
    <w:rsid w:val="00187EF3"/>
    <w:rsid w:val="00190D54"/>
    <w:rsid w:val="00192C2A"/>
    <w:rsid w:val="00192DD9"/>
    <w:rsid w:val="00195322"/>
    <w:rsid w:val="0019583B"/>
    <w:rsid w:val="001A0C66"/>
    <w:rsid w:val="001A14DA"/>
    <w:rsid w:val="001A42D3"/>
    <w:rsid w:val="001A48DC"/>
    <w:rsid w:val="001A4B3D"/>
    <w:rsid w:val="001A4D79"/>
    <w:rsid w:val="001A564F"/>
    <w:rsid w:val="001A630F"/>
    <w:rsid w:val="001B0C48"/>
    <w:rsid w:val="001B0D41"/>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BEA"/>
    <w:rsid w:val="001D2045"/>
    <w:rsid w:val="001D21C4"/>
    <w:rsid w:val="001D4D95"/>
    <w:rsid w:val="001D540C"/>
    <w:rsid w:val="001D5637"/>
    <w:rsid w:val="001D671F"/>
    <w:rsid w:val="001D6F60"/>
    <w:rsid w:val="001E041E"/>
    <w:rsid w:val="001E4531"/>
    <w:rsid w:val="001E4672"/>
    <w:rsid w:val="001E49D1"/>
    <w:rsid w:val="001E4D86"/>
    <w:rsid w:val="001E513E"/>
    <w:rsid w:val="001E6C3C"/>
    <w:rsid w:val="001E781E"/>
    <w:rsid w:val="001E7872"/>
    <w:rsid w:val="001E795A"/>
    <w:rsid w:val="001F3FFD"/>
    <w:rsid w:val="001F43B9"/>
    <w:rsid w:val="001F5448"/>
    <w:rsid w:val="001F758D"/>
    <w:rsid w:val="00200D8C"/>
    <w:rsid w:val="00201530"/>
    <w:rsid w:val="00203D98"/>
    <w:rsid w:val="00204FFA"/>
    <w:rsid w:val="00205334"/>
    <w:rsid w:val="0020542B"/>
    <w:rsid w:val="0021252A"/>
    <w:rsid w:val="00212662"/>
    <w:rsid w:val="002128D5"/>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DD2"/>
    <w:rsid w:val="0024156B"/>
    <w:rsid w:val="0024260C"/>
    <w:rsid w:val="00242CB6"/>
    <w:rsid w:val="00242DE4"/>
    <w:rsid w:val="0024424D"/>
    <w:rsid w:val="00245047"/>
    <w:rsid w:val="002455EB"/>
    <w:rsid w:val="002462A3"/>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17FC"/>
    <w:rsid w:val="00273813"/>
    <w:rsid w:val="00273990"/>
    <w:rsid w:val="002754BC"/>
    <w:rsid w:val="0027768E"/>
    <w:rsid w:val="002778EE"/>
    <w:rsid w:val="00277953"/>
    <w:rsid w:val="002803C8"/>
    <w:rsid w:val="00281A74"/>
    <w:rsid w:val="002826DB"/>
    <w:rsid w:val="00282B5C"/>
    <w:rsid w:val="00283A1E"/>
    <w:rsid w:val="0028463A"/>
    <w:rsid w:val="00284A25"/>
    <w:rsid w:val="0028577E"/>
    <w:rsid w:val="00286C4C"/>
    <w:rsid w:val="00290B97"/>
    <w:rsid w:val="00293412"/>
    <w:rsid w:val="00293924"/>
    <w:rsid w:val="00293B21"/>
    <w:rsid w:val="002946EC"/>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2E30"/>
    <w:rsid w:val="002B3439"/>
    <w:rsid w:val="002B44D2"/>
    <w:rsid w:val="002B5606"/>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B49"/>
    <w:rsid w:val="002D7CB2"/>
    <w:rsid w:val="002E3FD0"/>
    <w:rsid w:val="002E51E4"/>
    <w:rsid w:val="002E54EA"/>
    <w:rsid w:val="002E640E"/>
    <w:rsid w:val="002E6D00"/>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3A0"/>
    <w:rsid w:val="003229F8"/>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4145"/>
    <w:rsid w:val="00354282"/>
    <w:rsid w:val="003558D4"/>
    <w:rsid w:val="0035638A"/>
    <w:rsid w:val="003601E7"/>
    <w:rsid w:val="00360F34"/>
    <w:rsid w:val="00361426"/>
    <w:rsid w:val="00361A01"/>
    <w:rsid w:val="00362581"/>
    <w:rsid w:val="0036427E"/>
    <w:rsid w:val="0036438D"/>
    <w:rsid w:val="00364F61"/>
    <w:rsid w:val="003655D3"/>
    <w:rsid w:val="003744BF"/>
    <w:rsid w:val="00374E22"/>
    <w:rsid w:val="003755EA"/>
    <w:rsid w:val="00376A72"/>
    <w:rsid w:val="0038435D"/>
    <w:rsid w:val="00384966"/>
    <w:rsid w:val="00385385"/>
    <w:rsid w:val="00386F35"/>
    <w:rsid w:val="003875C8"/>
    <w:rsid w:val="003877B9"/>
    <w:rsid w:val="00387EB8"/>
    <w:rsid w:val="0039297C"/>
    <w:rsid w:val="0039430E"/>
    <w:rsid w:val="00395007"/>
    <w:rsid w:val="003A002C"/>
    <w:rsid w:val="003A186A"/>
    <w:rsid w:val="003A24FB"/>
    <w:rsid w:val="003A2ED1"/>
    <w:rsid w:val="003A327B"/>
    <w:rsid w:val="003A7D02"/>
    <w:rsid w:val="003B0466"/>
    <w:rsid w:val="003B0D58"/>
    <w:rsid w:val="003B136C"/>
    <w:rsid w:val="003B1BD4"/>
    <w:rsid w:val="003B2EA7"/>
    <w:rsid w:val="003B3900"/>
    <w:rsid w:val="003B3968"/>
    <w:rsid w:val="003B462E"/>
    <w:rsid w:val="003B470E"/>
    <w:rsid w:val="003C02D2"/>
    <w:rsid w:val="003C1561"/>
    <w:rsid w:val="003C2030"/>
    <w:rsid w:val="003C4376"/>
    <w:rsid w:val="003C517E"/>
    <w:rsid w:val="003D1188"/>
    <w:rsid w:val="003D1D18"/>
    <w:rsid w:val="003D1DEA"/>
    <w:rsid w:val="003D2F7B"/>
    <w:rsid w:val="003D65BC"/>
    <w:rsid w:val="003E02B4"/>
    <w:rsid w:val="003E0497"/>
    <w:rsid w:val="003E4D90"/>
    <w:rsid w:val="003F0A33"/>
    <w:rsid w:val="003F1F0B"/>
    <w:rsid w:val="003F21E6"/>
    <w:rsid w:val="003F24BD"/>
    <w:rsid w:val="003F2F6E"/>
    <w:rsid w:val="003F40A4"/>
    <w:rsid w:val="003F4698"/>
    <w:rsid w:val="003F6BF6"/>
    <w:rsid w:val="004015C7"/>
    <w:rsid w:val="00401DFC"/>
    <w:rsid w:val="00402D3F"/>
    <w:rsid w:val="004064A4"/>
    <w:rsid w:val="00410EA5"/>
    <w:rsid w:val="004121B2"/>
    <w:rsid w:val="0041251D"/>
    <w:rsid w:val="00414C41"/>
    <w:rsid w:val="0041582A"/>
    <w:rsid w:val="0041729D"/>
    <w:rsid w:val="00417BC8"/>
    <w:rsid w:val="004215F5"/>
    <w:rsid w:val="00422379"/>
    <w:rsid w:val="00422939"/>
    <w:rsid w:val="004240E0"/>
    <w:rsid w:val="00424AB0"/>
    <w:rsid w:val="00426FEF"/>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E6"/>
    <w:rsid w:val="00442ECD"/>
    <w:rsid w:val="004440A2"/>
    <w:rsid w:val="0044582F"/>
    <w:rsid w:val="0044595F"/>
    <w:rsid w:val="00446BC3"/>
    <w:rsid w:val="0044755D"/>
    <w:rsid w:val="00447A6B"/>
    <w:rsid w:val="00447D7F"/>
    <w:rsid w:val="00450179"/>
    <w:rsid w:val="004506C0"/>
    <w:rsid w:val="00451832"/>
    <w:rsid w:val="004521A1"/>
    <w:rsid w:val="00452D35"/>
    <w:rsid w:val="00452DC8"/>
    <w:rsid w:val="004543F3"/>
    <w:rsid w:val="004547FD"/>
    <w:rsid w:val="00455D97"/>
    <w:rsid w:val="0045780D"/>
    <w:rsid w:val="00457EFD"/>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9D8"/>
    <w:rsid w:val="004814AE"/>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7C1"/>
    <w:rsid w:val="004A4714"/>
    <w:rsid w:val="004A6A07"/>
    <w:rsid w:val="004A7A3E"/>
    <w:rsid w:val="004B2559"/>
    <w:rsid w:val="004B32EB"/>
    <w:rsid w:val="004B385E"/>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6F3B"/>
    <w:rsid w:val="004F1751"/>
    <w:rsid w:val="004F1C6C"/>
    <w:rsid w:val="004F2415"/>
    <w:rsid w:val="004F314F"/>
    <w:rsid w:val="004F318B"/>
    <w:rsid w:val="004F3478"/>
    <w:rsid w:val="004F37E7"/>
    <w:rsid w:val="004F4A0D"/>
    <w:rsid w:val="004F5E0B"/>
    <w:rsid w:val="0050227F"/>
    <w:rsid w:val="00502F0C"/>
    <w:rsid w:val="00504348"/>
    <w:rsid w:val="005056AE"/>
    <w:rsid w:val="00505EAD"/>
    <w:rsid w:val="00506E85"/>
    <w:rsid w:val="00507A54"/>
    <w:rsid w:val="00510EAD"/>
    <w:rsid w:val="0051106F"/>
    <w:rsid w:val="00511DAF"/>
    <w:rsid w:val="00511FB2"/>
    <w:rsid w:val="00512268"/>
    <w:rsid w:val="00513F1A"/>
    <w:rsid w:val="00520E5D"/>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41A60"/>
    <w:rsid w:val="00541F46"/>
    <w:rsid w:val="00542617"/>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5"/>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8100B"/>
    <w:rsid w:val="005825EA"/>
    <w:rsid w:val="00585077"/>
    <w:rsid w:val="0058518C"/>
    <w:rsid w:val="00585C5E"/>
    <w:rsid w:val="005866EF"/>
    <w:rsid w:val="005874D9"/>
    <w:rsid w:val="00590F2C"/>
    <w:rsid w:val="0059379E"/>
    <w:rsid w:val="00595DFC"/>
    <w:rsid w:val="00597615"/>
    <w:rsid w:val="00597695"/>
    <w:rsid w:val="005A0376"/>
    <w:rsid w:val="005A249E"/>
    <w:rsid w:val="005A3E93"/>
    <w:rsid w:val="005A5041"/>
    <w:rsid w:val="005A55C6"/>
    <w:rsid w:val="005A6BC1"/>
    <w:rsid w:val="005B00BC"/>
    <w:rsid w:val="005B0916"/>
    <w:rsid w:val="005B159B"/>
    <w:rsid w:val="005B3603"/>
    <w:rsid w:val="005B4710"/>
    <w:rsid w:val="005B4E21"/>
    <w:rsid w:val="005B5A32"/>
    <w:rsid w:val="005B6540"/>
    <w:rsid w:val="005C39FD"/>
    <w:rsid w:val="005C6C9A"/>
    <w:rsid w:val="005C7BD7"/>
    <w:rsid w:val="005C7D18"/>
    <w:rsid w:val="005D0561"/>
    <w:rsid w:val="005D2BBA"/>
    <w:rsid w:val="005D420C"/>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3274"/>
    <w:rsid w:val="006143CC"/>
    <w:rsid w:val="00614668"/>
    <w:rsid w:val="00615513"/>
    <w:rsid w:val="0062282D"/>
    <w:rsid w:val="00622B1B"/>
    <w:rsid w:val="00623764"/>
    <w:rsid w:val="006240A2"/>
    <w:rsid w:val="00627F44"/>
    <w:rsid w:val="00634042"/>
    <w:rsid w:val="006345FF"/>
    <w:rsid w:val="00635644"/>
    <w:rsid w:val="006356B8"/>
    <w:rsid w:val="00635F3A"/>
    <w:rsid w:val="006368D1"/>
    <w:rsid w:val="00637335"/>
    <w:rsid w:val="006411E1"/>
    <w:rsid w:val="006426D1"/>
    <w:rsid w:val="00644FE9"/>
    <w:rsid w:val="00645F87"/>
    <w:rsid w:val="0064608C"/>
    <w:rsid w:val="006471EF"/>
    <w:rsid w:val="006527ED"/>
    <w:rsid w:val="00652833"/>
    <w:rsid w:val="00655AE8"/>
    <w:rsid w:val="00660D2F"/>
    <w:rsid w:val="0066121E"/>
    <w:rsid w:val="006619B3"/>
    <w:rsid w:val="00661A4B"/>
    <w:rsid w:val="0066205F"/>
    <w:rsid w:val="00662AB9"/>
    <w:rsid w:val="0066625D"/>
    <w:rsid w:val="00667B09"/>
    <w:rsid w:val="00670C31"/>
    <w:rsid w:val="00670F6E"/>
    <w:rsid w:val="006735A3"/>
    <w:rsid w:val="00673D66"/>
    <w:rsid w:val="00674C2F"/>
    <w:rsid w:val="00680226"/>
    <w:rsid w:val="00680441"/>
    <w:rsid w:val="006804A7"/>
    <w:rsid w:val="006814FC"/>
    <w:rsid w:val="006835D6"/>
    <w:rsid w:val="00684D51"/>
    <w:rsid w:val="0068679E"/>
    <w:rsid w:val="006873F9"/>
    <w:rsid w:val="00687547"/>
    <w:rsid w:val="00690370"/>
    <w:rsid w:val="0069254B"/>
    <w:rsid w:val="00694B8B"/>
    <w:rsid w:val="0069538C"/>
    <w:rsid w:val="006963B5"/>
    <w:rsid w:val="006A01B6"/>
    <w:rsid w:val="006A4F06"/>
    <w:rsid w:val="006A52CD"/>
    <w:rsid w:val="006A604D"/>
    <w:rsid w:val="006A656F"/>
    <w:rsid w:val="006A68A4"/>
    <w:rsid w:val="006B0144"/>
    <w:rsid w:val="006B0E6F"/>
    <w:rsid w:val="006B2ECE"/>
    <w:rsid w:val="006B5652"/>
    <w:rsid w:val="006C02D9"/>
    <w:rsid w:val="006C23EF"/>
    <w:rsid w:val="006C25AE"/>
    <w:rsid w:val="006C2D86"/>
    <w:rsid w:val="006C2E17"/>
    <w:rsid w:val="006C365D"/>
    <w:rsid w:val="006C3BF2"/>
    <w:rsid w:val="006C749B"/>
    <w:rsid w:val="006D04BD"/>
    <w:rsid w:val="006D06B0"/>
    <w:rsid w:val="006D120F"/>
    <w:rsid w:val="006D1CE2"/>
    <w:rsid w:val="006D1F3E"/>
    <w:rsid w:val="006D22EF"/>
    <w:rsid w:val="006D5927"/>
    <w:rsid w:val="006D5AD3"/>
    <w:rsid w:val="006D6265"/>
    <w:rsid w:val="006D6347"/>
    <w:rsid w:val="006D796B"/>
    <w:rsid w:val="006D7BDF"/>
    <w:rsid w:val="006D7EE0"/>
    <w:rsid w:val="006E007C"/>
    <w:rsid w:val="006E1DA1"/>
    <w:rsid w:val="006E28E7"/>
    <w:rsid w:val="006E2C49"/>
    <w:rsid w:val="006E3451"/>
    <w:rsid w:val="006E4414"/>
    <w:rsid w:val="006E53DB"/>
    <w:rsid w:val="006E5538"/>
    <w:rsid w:val="006E75B8"/>
    <w:rsid w:val="006F03E1"/>
    <w:rsid w:val="006F09BC"/>
    <w:rsid w:val="006F0C98"/>
    <w:rsid w:val="006F1670"/>
    <w:rsid w:val="006F29BD"/>
    <w:rsid w:val="006F3B15"/>
    <w:rsid w:val="007009E1"/>
    <w:rsid w:val="007013D5"/>
    <w:rsid w:val="0070325C"/>
    <w:rsid w:val="00703A88"/>
    <w:rsid w:val="007077CB"/>
    <w:rsid w:val="00707C93"/>
    <w:rsid w:val="00710BA2"/>
    <w:rsid w:val="007120B0"/>
    <w:rsid w:val="0071218E"/>
    <w:rsid w:val="00713736"/>
    <w:rsid w:val="007143E4"/>
    <w:rsid w:val="007160C1"/>
    <w:rsid w:val="00716FA9"/>
    <w:rsid w:val="007171C9"/>
    <w:rsid w:val="007201FD"/>
    <w:rsid w:val="00720202"/>
    <w:rsid w:val="00720AE7"/>
    <w:rsid w:val="00720F91"/>
    <w:rsid w:val="00721A6A"/>
    <w:rsid w:val="00721B45"/>
    <w:rsid w:val="00723D51"/>
    <w:rsid w:val="0072435F"/>
    <w:rsid w:val="0072476F"/>
    <w:rsid w:val="00724E89"/>
    <w:rsid w:val="007257F9"/>
    <w:rsid w:val="0072696B"/>
    <w:rsid w:val="00726F6C"/>
    <w:rsid w:val="00731279"/>
    <w:rsid w:val="00731816"/>
    <w:rsid w:val="00732002"/>
    <w:rsid w:val="00732600"/>
    <w:rsid w:val="00734E2C"/>
    <w:rsid w:val="00735ABB"/>
    <w:rsid w:val="00736918"/>
    <w:rsid w:val="00741DA9"/>
    <w:rsid w:val="00741E50"/>
    <w:rsid w:val="007425CB"/>
    <w:rsid w:val="0074273B"/>
    <w:rsid w:val="00742CC9"/>
    <w:rsid w:val="007439ED"/>
    <w:rsid w:val="00743EFE"/>
    <w:rsid w:val="007463CC"/>
    <w:rsid w:val="007502EA"/>
    <w:rsid w:val="00750668"/>
    <w:rsid w:val="00750F89"/>
    <w:rsid w:val="00751664"/>
    <w:rsid w:val="00751869"/>
    <w:rsid w:val="00751D6C"/>
    <w:rsid w:val="00752502"/>
    <w:rsid w:val="00752989"/>
    <w:rsid w:val="00752BC4"/>
    <w:rsid w:val="00752CF1"/>
    <w:rsid w:val="00754B1C"/>
    <w:rsid w:val="007569F5"/>
    <w:rsid w:val="00757B5D"/>
    <w:rsid w:val="007615B9"/>
    <w:rsid w:val="00763AA3"/>
    <w:rsid w:val="00766C0F"/>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91155"/>
    <w:rsid w:val="00796ECE"/>
    <w:rsid w:val="007A1719"/>
    <w:rsid w:val="007A4158"/>
    <w:rsid w:val="007A423C"/>
    <w:rsid w:val="007A519A"/>
    <w:rsid w:val="007A65E7"/>
    <w:rsid w:val="007A66B7"/>
    <w:rsid w:val="007A6C0F"/>
    <w:rsid w:val="007A756C"/>
    <w:rsid w:val="007B052B"/>
    <w:rsid w:val="007B21DB"/>
    <w:rsid w:val="007B2367"/>
    <w:rsid w:val="007B37E0"/>
    <w:rsid w:val="007B65A3"/>
    <w:rsid w:val="007C1053"/>
    <w:rsid w:val="007C18B3"/>
    <w:rsid w:val="007C232E"/>
    <w:rsid w:val="007C26E7"/>
    <w:rsid w:val="007C433E"/>
    <w:rsid w:val="007C66FC"/>
    <w:rsid w:val="007D1078"/>
    <w:rsid w:val="007D285F"/>
    <w:rsid w:val="007D3111"/>
    <w:rsid w:val="007D389A"/>
    <w:rsid w:val="007D3F45"/>
    <w:rsid w:val="007D4ABB"/>
    <w:rsid w:val="007D5279"/>
    <w:rsid w:val="007D6A3B"/>
    <w:rsid w:val="007D7CAF"/>
    <w:rsid w:val="007E1A14"/>
    <w:rsid w:val="007E37B9"/>
    <w:rsid w:val="007E42BF"/>
    <w:rsid w:val="007E4B32"/>
    <w:rsid w:val="007E5785"/>
    <w:rsid w:val="007E6077"/>
    <w:rsid w:val="007E6081"/>
    <w:rsid w:val="007E6908"/>
    <w:rsid w:val="007E69E0"/>
    <w:rsid w:val="007E7E31"/>
    <w:rsid w:val="007F002E"/>
    <w:rsid w:val="007F21BE"/>
    <w:rsid w:val="007F5E1F"/>
    <w:rsid w:val="007F6FB8"/>
    <w:rsid w:val="007F7E1F"/>
    <w:rsid w:val="00801282"/>
    <w:rsid w:val="00804A2E"/>
    <w:rsid w:val="00804D0D"/>
    <w:rsid w:val="00805573"/>
    <w:rsid w:val="008059BC"/>
    <w:rsid w:val="00806CC0"/>
    <w:rsid w:val="008104D0"/>
    <w:rsid w:val="00813282"/>
    <w:rsid w:val="00815261"/>
    <w:rsid w:val="00815FB8"/>
    <w:rsid w:val="0081686E"/>
    <w:rsid w:val="008169C1"/>
    <w:rsid w:val="0081786F"/>
    <w:rsid w:val="00817D4D"/>
    <w:rsid w:val="00821A62"/>
    <w:rsid w:val="00822380"/>
    <w:rsid w:val="00822683"/>
    <w:rsid w:val="00822DEA"/>
    <w:rsid w:val="00823242"/>
    <w:rsid w:val="008247FE"/>
    <w:rsid w:val="00830469"/>
    <w:rsid w:val="00830CFB"/>
    <w:rsid w:val="00831FB5"/>
    <w:rsid w:val="008339B1"/>
    <w:rsid w:val="00833B4B"/>
    <w:rsid w:val="008346E9"/>
    <w:rsid w:val="00834A02"/>
    <w:rsid w:val="00834B7A"/>
    <w:rsid w:val="00835AC1"/>
    <w:rsid w:val="00840639"/>
    <w:rsid w:val="00841290"/>
    <w:rsid w:val="0084391D"/>
    <w:rsid w:val="00844554"/>
    <w:rsid w:val="00844636"/>
    <w:rsid w:val="00850044"/>
    <w:rsid w:val="00850BDB"/>
    <w:rsid w:val="00850D37"/>
    <w:rsid w:val="00851523"/>
    <w:rsid w:val="00854356"/>
    <w:rsid w:val="008545FB"/>
    <w:rsid w:val="00854E0D"/>
    <w:rsid w:val="00855AC0"/>
    <w:rsid w:val="00856927"/>
    <w:rsid w:val="00861762"/>
    <w:rsid w:val="0086181A"/>
    <w:rsid w:val="00861E9C"/>
    <w:rsid w:val="00862565"/>
    <w:rsid w:val="00864F62"/>
    <w:rsid w:val="00865D2C"/>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5540"/>
    <w:rsid w:val="00887801"/>
    <w:rsid w:val="0088784B"/>
    <w:rsid w:val="008956E4"/>
    <w:rsid w:val="00896704"/>
    <w:rsid w:val="0089676B"/>
    <w:rsid w:val="0089714D"/>
    <w:rsid w:val="00897548"/>
    <w:rsid w:val="008978B5"/>
    <w:rsid w:val="0089795D"/>
    <w:rsid w:val="008A065E"/>
    <w:rsid w:val="008A08DA"/>
    <w:rsid w:val="008A0ED3"/>
    <w:rsid w:val="008A0F40"/>
    <w:rsid w:val="008A11B4"/>
    <w:rsid w:val="008A5FD5"/>
    <w:rsid w:val="008A70C2"/>
    <w:rsid w:val="008A715B"/>
    <w:rsid w:val="008A7389"/>
    <w:rsid w:val="008A7C7D"/>
    <w:rsid w:val="008B0A36"/>
    <w:rsid w:val="008B10A9"/>
    <w:rsid w:val="008B36A1"/>
    <w:rsid w:val="008B4297"/>
    <w:rsid w:val="008B52BA"/>
    <w:rsid w:val="008B6DD5"/>
    <w:rsid w:val="008B7FEF"/>
    <w:rsid w:val="008C1927"/>
    <w:rsid w:val="008C339F"/>
    <w:rsid w:val="008C67E9"/>
    <w:rsid w:val="008C789D"/>
    <w:rsid w:val="008D1345"/>
    <w:rsid w:val="008D181D"/>
    <w:rsid w:val="008D2DDD"/>
    <w:rsid w:val="008D2FC4"/>
    <w:rsid w:val="008D3E60"/>
    <w:rsid w:val="008D48CA"/>
    <w:rsid w:val="008D52A4"/>
    <w:rsid w:val="008D53A9"/>
    <w:rsid w:val="008D5AD6"/>
    <w:rsid w:val="008D63D5"/>
    <w:rsid w:val="008D6471"/>
    <w:rsid w:val="008D76C3"/>
    <w:rsid w:val="008E0D1D"/>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317"/>
    <w:rsid w:val="00907AD6"/>
    <w:rsid w:val="00907CD6"/>
    <w:rsid w:val="009101AB"/>
    <w:rsid w:val="009149D8"/>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E46"/>
    <w:rsid w:val="009436A2"/>
    <w:rsid w:val="00943AC9"/>
    <w:rsid w:val="00943F9D"/>
    <w:rsid w:val="009518A0"/>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4985"/>
    <w:rsid w:val="009668A0"/>
    <w:rsid w:val="00966FCA"/>
    <w:rsid w:val="00970700"/>
    <w:rsid w:val="00970AA5"/>
    <w:rsid w:val="00970D26"/>
    <w:rsid w:val="009711D7"/>
    <w:rsid w:val="00971321"/>
    <w:rsid w:val="00975389"/>
    <w:rsid w:val="009763BB"/>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6124"/>
    <w:rsid w:val="0099779C"/>
    <w:rsid w:val="009A1BB2"/>
    <w:rsid w:val="009A1CA8"/>
    <w:rsid w:val="009A230C"/>
    <w:rsid w:val="009A2B96"/>
    <w:rsid w:val="009A2D36"/>
    <w:rsid w:val="009A3895"/>
    <w:rsid w:val="009A520B"/>
    <w:rsid w:val="009A545B"/>
    <w:rsid w:val="009A5B16"/>
    <w:rsid w:val="009A5C09"/>
    <w:rsid w:val="009B14A3"/>
    <w:rsid w:val="009B21E2"/>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84B"/>
    <w:rsid w:val="009D4089"/>
    <w:rsid w:val="009D4189"/>
    <w:rsid w:val="009D6C83"/>
    <w:rsid w:val="009D7406"/>
    <w:rsid w:val="009E174C"/>
    <w:rsid w:val="009E305D"/>
    <w:rsid w:val="009E30C0"/>
    <w:rsid w:val="009E39BB"/>
    <w:rsid w:val="009E4C0E"/>
    <w:rsid w:val="009E59A2"/>
    <w:rsid w:val="009E6292"/>
    <w:rsid w:val="009F0166"/>
    <w:rsid w:val="009F19F0"/>
    <w:rsid w:val="009F6197"/>
    <w:rsid w:val="00A01FD5"/>
    <w:rsid w:val="00A0378F"/>
    <w:rsid w:val="00A04EE4"/>
    <w:rsid w:val="00A05089"/>
    <w:rsid w:val="00A06102"/>
    <w:rsid w:val="00A06191"/>
    <w:rsid w:val="00A07085"/>
    <w:rsid w:val="00A11CE5"/>
    <w:rsid w:val="00A1255F"/>
    <w:rsid w:val="00A1272F"/>
    <w:rsid w:val="00A1389E"/>
    <w:rsid w:val="00A13A41"/>
    <w:rsid w:val="00A144BC"/>
    <w:rsid w:val="00A14D19"/>
    <w:rsid w:val="00A1654A"/>
    <w:rsid w:val="00A168B2"/>
    <w:rsid w:val="00A169DA"/>
    <w:rsid w:val="00A173C1"/>
    <w:rsid w:val="00A2063F"/>
    <w:rsid w:val="00A21C4A"/>
    <w:rsid w:val="00A224B1"/>
    <w:rsid w:val="00A231AA"/>
    <w:rsid w:val="00A2563E"/>
    <w:rsid w:val="00A26DAA"/>
    <w:rsid w:val="00A27253"/>
    <w:rsid w:val="00A276AF"/>
    <w:rsid w:val="00A31303"/>
    <w:rsid w:val="00A32FC0"/>
    <w:rsid w:val="00A33753"/>
    <w:rsid w:val="00A35FCB"/>
    <w:rsid w:val="00A36388"/>
    <w:rsid w:val="00A3725D"/>
    <w:rsid w:val="00A37BE0"/>
    <w:rsid w:val="00A417AA"/>
    <w:rsid w:val="00A42A47"/>
    <w:rsid w:val="00A45D18"/>
    <w:rsid w:val="00A462EA"/>
    <w:rsid w:val="00A4752E"/>
    <w:rsid w:val="00A477FE"/>
    <w:rsid w:val="00A47855"/>
    <w:rsid w:val="00A47878"/>
    <w:rsid w:val="00A519D8"/>
    <w:rsid w:val="00A52C65"/>
    <w:rsid w:val="00A53838"/>
    <w:rsid w:val="00A54798"/>
    <w:rsid w:val="00A551A1"/>
    <w:rsid w:val="00A55D24"/>
    <w:rsid w:val="00A566AB"/>
    <w:rsid w:val="00A578C3"/>
    <w:rsid w:val="00A6027B"/>
    <w:rsid w:val="00A60A39"/>
    <w:rsid w:val="00A6118E"/>
    <w:rsid w:val="00A612BC"/>
    <w:rsid w:val="00A61B3B"/>
    <w:rsid w:val="00A6477E"/>
    <w:rsid w:val="00A65D6A"/>
    <w:rsid w:val="00A7019E"/>
    <w:rsid w:val="00A70849"/>
    <w:rsid w:val="00A70AF4"/>
    <w:rsid w:val="00A71116"/>
    <w:rsid w:val="00A71875"/>
    <w:rsid w:val="00A737D1"/>
    <w:rsid w:val="00A73AEB"/>
    <w:rsid w:val="00A74D74"/>
    <w:rsid w:val="00A75FCC"/>
    <w:rsid w:val="00A7602F"/>
    <w:rsid w:val="00A76380"/>
    <w:rsid w:val="00A77851"/>
    <w:rsid w:val="00A80437"/>
    <w:rsid w:val="00A816E8"/>
    <w:rsid w:val="00A817EE"/>
    <w:rsid w:val="00A83AD2"/>
    <w:rsid w:val="00A84C06"/>
    <w:rsid w:val="00A86202"/>
    <w:rsid w:val="00A86249"/>
    <w:rsid w:val="00A87B9E"/>
    <w:rsid w:val="00A87CA9"/>
    <w:rsid w:val="00A90A91"/>
    <w:rsid w:val="00A927B4"/>
    <w:rsid w:val="00A93A77"/>
    <w:rsid w:val="00A95E7B"/>
    <w:rsid w:val="00A97A19"/>
    <w:rsid w:val="00AA1499"/>
    <w:rsid w:val="00AA2CA2"/>
    <w:rsid w:val="00AA4FFC"/>
    <w:rsid w:val="00AA5EBA"/>
    <w:rsid w:val="00AA5EE9"/>
    <w:rsid w:val="00AA64B1"/>
    <w:rsid w:val="00AB09DF"/>
    <w:rsid w:val="00AB0DA1"/>
    <w:rsid w:val="00AB13DA"/>
    <w:rsid w:val="00AB23A6"/>
    <w:rsid w:val="00AB33E6"/>
    <w:rsid w:val="00AB4B03"/>
    <w:rsid w:val="00AB4F04"/>
    <w:rsid w:val="00AB61AA"/>
    <w:rsid w:val="00AB7912"/>
    <w:rsid w:val="00AB7DCD"/>
    <w:rsid w:val="00AC0381"/>
    <w:rsid w:val="00AC0A65"/>
    <w:rsid w:val="00AC12E8"/>
    <w:rsid w:val="00AC1956"/>
    <w:rsid w:val="00AC28A6"/>
    <w:rsid w:val="00AC40AB"/>
    <w:rsid w:val="00AC4767"/>
    <w:rsid w:val="00AC6335"/>
    <w:rsid w:val="00AD1300"/>
    <w:rsid w:val="00AD248E"/>
    <w:rsid w:val="00AD316C"/>
    <w:rsid w:val="00AD3704"/>
    <w:rsid w:val="00AD4104"/>
    <w:rsid w:val="00AD5160"/>
    <w:rsid w:val="00AD580C"/>
    <w:rsid w:val="00AD633F"/>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F04C5"/>
    <w:rsid w:val="00AF0806"/>
    <w:rsid w:val="00AF19C5"/>
    <w:rsid w:val="00AF3566"/>
    <w:rsid w:val="00AF3C66"/>
    <w:rsid w:val="00AF4451"/>
    <w:rsid w:val="00AF45C1"/>
    <w:rsid w:val="00AF4882"/>
    <w:rsid w:val="00AF666C"/>
    <w:rsid w:val="00AF73A6"/>
    <w:rsid w:val="00B03025"/>
    <w:rsid w:val="00B030BE"/>
    <w:rsid w:val="00B05896"/>
    <w:rsid w:val="00B10423"/>
    <w:rsid w:val="00B11C42"/>
    <w:rsid w:val="00B13831"/>
    <w:rsid w:val="00B139CC"/>
    <w:rsid w:val="00B13E0F"/>
    <w:rsid w:val="00B15768"/>
    <w:rsid w:val="00B15830"/>
    <w:rsid w:val="00B17805"/>
    <w:rsid w:val="00B2020B"/>
    <w:rsid w:val="00B22267"/>
    <w:rsid w:val="00B234B7"/>
    <w:rsid w:val="00B27C90"/>
    <w:rsid w:val="00B325B6"/>
    <w:rsid w:val="00B331B0"/>
    <w:rsid w:val="00B34056"/>
    <w:rsid w:val="00B3499B"/>
    <w:rsid w:val="00B349D5"/>
    <w:rsid w:val="00B35122"/>
    <w:rsid w:val="00B37168"/>
    <w:rsid w:val="00B37822"/>
    <w:rsid w:val="00B410E2"/>
    <w:rsid w:val="00B414F2"/>
    <w:rsid w:val="00B4248A"/>
    <w:rsid w:val="00B42631"/>
    <w:rsid w:val="00B4418E"/>
    <w:rsid w:val="00B514BA"/>
    <w:rsid w:val="00B51504"/>
    <w:rsid w:val="00B54411"/>
    <w:rsid w:val="00B55023"/>
    <w:rsid w:val="00B55624"/>
    <w:rsid w:val="00B55938"/>
    <w:rsid w:val="00B60204"/>
    <w:rsid w:val="00B60367"/>
    <w:rsid w:val="00B61F97"/>
    <w:rsid w:val="00B64BF4"/>
    <w:rsid w:val="00B6736A"/>
    <w:rsid w:val="00B67C52"/>
    <w:rsid w:val="00B70CE3"/>
    <w:rsid w:val="00B71A9F"/>
    <w:rsid w:val="00B7315C"/>
    <w:rsid w:val="00B73DCB"/>
    <w:rsid w:val="00B7449D"/>
    <w:rsid w:val="00B747D1"/>
    <w:rsid w:val="00B75A6B"/>
    <w:rsid w:val="00B76413"/>
    <w:rsid w:val="00B76D05"/>
    <w:rsid w:val="00B7767F"/>
    <w:rsid w:val="00B80FA0"/>
    <w:rsid w:val="00B81B45"/>
    <w:rsid w:val="00B81B50"/>
    <w:rsid w:val="00B82DB9"/>
    <w:rsid w:val="00B84166"/>
    <w:rsid w:val="00B844FF"/>
    <w:rsid w:val="00B84D09"/>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121C"/>
    <w:rsid w:val="00BB17FD"/>
    <w:rsid w:val="00BB274B"/>
    <w:rsid w:val="00BB4B87"/>
    <w:rsid w:val="00BB553A"/>
    <w:rsid w:val="00BB6B8F"/>
    <w:rsid w:val="00BB7753"/>
    <w:rsid w:val="00BC13C9"/>
    <w:rsid w:val="00BC572D"/>
    <w:rsid w:val="00BC5B18"/>
    <w:rsid w:val="00BC61A3"/>
    <w:rsid w:val="00BC68C9"/>
    <w:rsid w:val="00BD050F"/>
    <w:rsid w:val="00BD14DB"/>
    <w:rsid w:val="00BD20C0"/>
    <w:rsid w:val="00BD4399"/>
    <w:rsid w:val="00BD59EE"/>
    <w:rsid w:val="00BD7D5B"/>
    <w:rsid w:val="00BE2FFF"/>
    <w:rsid w:val="00BE68B1"/>
    <w:rsid w:val="00BE7550"/>
    <w:rsid w:val="00BF2613"/>
    <w:rsid w:val="00BF3043"/>
    <w:rsid w:val="00BF3F56"/>
    <w:rsid w:val="00BF4C90"/>
    <w:rsid w:val="00C00027"/>
    <w:rsid w:val="00C002D2"/>
    <w:rsid w:val="00C0467C"/>
    <w:rsid w:val="00C05F95"/>
    <w:rsid w:val="00C060B4"/>
    <w:rsid w:val="00C0662C"/>
    <w:rsid w:val="00C10DD5"/>
    <w:rsid w:val="00C11900"/>
    <w:rsid w:val="00C11FE0"/>
    <w:rsid w:val="00C14FC5"/>
    <w:rsid w:val="00C178DC"/>
    <w:rsid w:val="00C17D84"/>
    <w:rsid w:val="00C17F1E"/>
    <w:rsid w:val="00C20FD5"/>
    <w:rsid w:val="00C21AF0"/>
    <w:rsid w:val="00C23753"/>
    <w:rsid w:val="00C24C48"/>
    <w:rsid w:val="00C26390"/>
    <w:rsid w:val="00C268A2"/>
    <w:rsid w:val="00C26EF8"/>
    <w:rsid w:val="00C30BB8"/>
    <w:rsid w:val="00C3206A"/>
    <w:rsid w:val="00C33253"/>
    <w:rsid w:val="00C33680"/>
    <w:rsid w:val="00C34221"/>
    <w:rsid w:val="00C35EF5"/>
    <w:rsid w:val="00C36E9A"/>
    <w:rsid w:val="00C37F50"/>
    <w:rsid w:val="00C4164F"/>
    <w:rsid w:val="00C4196E"/>
    <w:rsid w:val="00C41E5B"/>
    <w:rsid w:val="00C428D7"/>
    <w:rsid w:val="00C44DD1"/>
    <w:rsid w:val="00C450E0"/>
    <w:rsid w:val="00C50514"/>
    <w:rsid w:val="00C507F0"/>
    <w:rsid w:val="00C50CEA"/>
    <w:rsid w:val="00C50E86"/>
    <w:rsid w:val="00C5200E"/>
    <w:rsid w:val="00C53FB7"/>
    <w:rsid w:val="00C57FBB"/>
    <w:rsid w:val="00C64C33"/>
    <w:rsid w:val="00C707D2"/>
    <w:rsid w:val="00C70BF9"/>
    <w:rsid w:val="00C7184F"/>
    <w:rsid w:val="00C72C99"/>
    <w:rsid w:val="00C737DE"/>
    <w:rsid w:val="00C73855"/>
    <w:rsid w:val="00C73C3B"/>
    <w:rsid w:val="00C74EDA"/>
    <w:rsid w:val="00C750FA"/>
    <w:rsid w:val="00C7624C"/>
    <w:rsid w:val="00C76486"/>
    <w:rsid w:val="00C775E9"/>
    <w:rsid w:val="00C77A80"/>
    <w:rsid w:val="00C77B97"/>
    <w:rsid w:val="00C832EC"/>
    <w:rsid w:val="00C853AF"/>
    <w:rsid w:val="00C85C26"/>
    <w:rsid w:val="00C864A7"/>
    <w:rsid w:val="00C86FC3"/>
    <w:rsid w:val="00C87F79"/>
    <w:rsid w:val="00C90136"/>
    <w:rsid w:val="00C90D7F"/>
    <w:rsid w:val="00C910AD"/>
    <w:rsid w:val="00C91461"/>
    <w:rsid w:val="00C9203F"/>
    <w:rsid w:val="00C92634"/>
    <w:rsid w:val="00C96770"/>
    <w:rsid w:val="00C9689D"/>
    <w:rsid w:val="00C96FC9"/>
    <w:rsid w:val="00CA1D6B"/>
    <w:rsid w:val="00CA30C0"/>
    <w:rsid w:val="00CA4B89"/>
    <w:rsid w:val="00CA5397"/>
    <w:rsid w:val="00CA7086"/>
    <w:rsid w:val="00CA7357"/>
    <w:rsid w:val="00CA742E"/>
    <w:rsid w:val="00CA7BFA"/>
    <w:rsid w:val="00CA7DA5"/>
    <w:rsid w:val="00CB330F"/>
    <w:rsid w:val="00CB4BBE"/>
    <w:rsid w:val="00CB4FF1"/>
    <w:rsid w:val="00CB5389"/>
    <w:rsid w:val="00CB73AC"/>
    <w:rsid w:val="00CB7F5D"/>
    <w:rsid w:val="00CC02E3"/>
    <w:rsid w:val="00CC0CFE"/>
    <w:rsid w:val="00CC0D64"/>
    <w:rsid w:val="00CC4471"/>
    <w:rsid w:val="00CC5147"/>
    <w:rsid w:val="00CC534D"/>
    <w:rsid w:val="00CC55F5"/>
    <w:rsid w:val="00CC67F9"/>
    <w:rsid w:val="00CC6E77"/>
    <w:rsid w:val="00CC72BA"/>
    <w:rsid w:val="00CC7E23"/>
    <w:rsid w:val="00CD44BE"/>
    <w:rsid w:val="00CD4610"/>
    <w:rsid w:val="00CD4AD6"/>
    <w:rsid w:val="00CD56EC"/>
    <w:rsid w:val="00CD5AFC"/>
    <w:rsid w:val="00CD734B"/>
    <w:rsid w:val="00CD7832"/>
    <w:rsid w:val="00CD7E66"/>
    <w:rsid w:val="00CE26F5"/>
    <w:rsid w:val="00CE53F1"/>
    <w:rsid w:val="00CE5E8A"/>
    <w:rsid w:val="00CF0F55"/>
    <w:rsid w:val="00CF108B"/>
    <w:rsid w:val="00CF367F"/>
    <w:rsid w:val="00CF489B"/>
    <w:rsid w:val="00CF5272"/>
    <w:rsid w:val="00CF6D47"/>
    <w:rsid w:val="00CF7A46"/>
    <w:rsid w:val="00D003C6"/>
    <w:rsid w:val="00D00D38"/>
    <w:rsid w:val="00D02799"/>
    <w:rsid w:val="00D02C4B"/>
    <w:rsid w:val="00D05121"/>
    <w:rsid w:val="00D06522"/>
    <w:rsid w:val="00D06D9A"/>
    <w:rsid w:val="00D111E6"/>
    <w:rsid w:val="00D11551"/>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CB2"/>
    <w:rsid w:val="00D65799"/>
    <w:rsid w:val="00D662A2"/>
    <w:rsid w:val="00D663C0"/>
    <w:rsid w:val="00D716D2"/>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90164"/>
    <w:rsid w:val="00D912AC"/>
    <w:rsid w:val="00D924D2"/>
    <w:rsid w:val="00D930A0"/>
    <w:rsid w:val="00D948CF"/>
    <w:rsid w:val="00D94E88"/>
    <w:rsid w:val="00D97016"/>
    <w:rsid w:val="00DA0828"/>
    <w:rsid w:val="00DA15C5"/>
    <w:rsid w:val="00DA1B19"/>
    <w:rsid w:val="00DA2DE4"/>
    <w:rsid w:val="00DA5205"/>
    <w:rsid w:val="00DA5BDD"/>
    <w:rsid w:val="00DA7884"/>
    <w:rsid w:val="00DB25FD"/>
    <w:rsid w:val="00DB3B6F"/>
    <w:rsid w:val="00DB4275"/>
    <w:rsid w:val="00DB563B"/>
    <w:rsid w:val="00DB6886"/>
    <w:rsid w:val="00DC41FB"/>
    <w:rsid w:val="00DC4FF0"/>
    <w:rsid w:val="00DC7021"/>
    <w:rsid w:val="00DD0DA5"/>
    <w:rsid w:val="00DD23C0"/>
    <w:rsid w:val="00DD2D3B"/>
    <w:rsid w:val="00DD3A9F"/>
    <w:rsid w:val="00DD4D95"/>
    <w:rsid w:val="00DD509B"/>
    <w:rsid w:val="00DD663A"/>
    <w:rsid w:val="00DD7CAF"/>
    <w:rsid w:val="00DE0442"/>
    <w:rsid w:val="00DE1ED5"/>
    <w:rsid w:val="00DE2655"/>
    <w:rsid w:val="00DE5070"/>
    <w:rsid w:val="00DE50D6"/>
    <w:rsid w:val="00DE5E13"/>
    <w:rsid w:val="00DE7F2B"/>
    <w:rsid w:val="00DF0D8B"/>
    <w:rsid w:val="00DF0F84"/>
    <w:rsid w:val="00DF2BEA"/>
    <w:rsid w:val="00DF3557"/>
    <w:rsid w:val="00DF6163"/>
    <w:rsid w:val="00DF6C75"/>
    <w:rsid w:val="00DF7312"/>
    <w:rsid w:val="00DF773C"/>
    <w:rsid w:val="00E01937"/>
    <w:rsid w:val="00E02197"/>
    <w:rsid w:val="00E03496"/>
    <w:rsid w:val="00E05174"/>
    <w:rsid w:val="00E0702E"/>
    <w:rsid w:val="00E0703F"/>
    <w:rsid w:val="00E07B6F"/>
    <w:rsid w:val="00E10460"/>
    <w:rsid w:val="00E10DBB"/>
    <w:rsid w:val="00E11B32"/>
    <w:rsid w:val="00E13021"/>
    <w:rsid w:val="00E13A57"/>
    <w:rsid w:val="00E15E1C"/>
    <w:rsid w:val="00E1674E"/>
    <w:rsid w:val="00E175DC"/>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6DFB"/>
    <w:rsid w:val="00E46E2E"/>
    <w:rsid w:val="00E472A4"/>
    <w:rsid w:val="00E47672"/>
    <w:rsid w:val="00E47892"/>
    <w:rsid w:val="00E51186"/>
    <w:rsid w:val="00E53F21"/>
    <w:rsid w:val="00E56E52"/>
    <w:rsid w:val="00E57950"/>
    <w:rsid w:val="00E600C0"/>
    <w:rsid w:val="00E60152"/>
    <w:rsid w:val="00E61557"/>
    <w:rsid w:val="00E61CF0"/>
    <w:rsid w:val="00E62155"/>
    <w:rsid w:val="00E62697"/>
    <w:rsid w:val="00E642C3"/>
    <w:rsid w:val="00E66843"/>
    <w:rsid w:val="00E67E4D"/>
    <w:rsid w:val="00E67E8C"/>
    <w:rsid w:val="00E719FB"/>
    <w:rsid w:val="00E71E56"/>
    <w:rsid w:val="00E72159"/>
    <w:rsid w:val="00E7251D"/>
    <w:rsid w:val="00E72E49"/>
    <w:rsid w:val="00E74DAB"/>
    <w:rsid w:val="00E75285"/>
    <w:rsid w:val="00E75A38"/>
    <w:rsid w:val="00E77E08"/>
    <w:rsid w:val="00E801EC"/>
    <w:rsid w:val="00E80476"/>
    <w:rsid w:val="00E81A5A"/>
    <w:rsid w:val="00E838FF"/>
    <w:rsid w:val="00E8553B"/>
    <w:rsid w:val="00E8578D"/>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C0121"/>
    <w:rsid w:val="00EC01F8"/>
    <w:rsid w:val="00EC1697"/>
    <w:rsid w:val="00EC2A6A"/>
    <w:rsid w:val="00EC2BB3"/>
    <w:rsid w:val="00EC4FF4"/>
    <w:rsid w:val="00EC58D9"/>
    <w:rsid w:val="00EC724E"/>
    <w:rsid w:val="00ED0016"/>
    <w:rsid w:val="00ED37D5"/>
    <w:rsid w:val="00ED4604"/>
    <w:rsid w:val="00ED4B48"/>
    <w:rsid w:val="00ED4CDA"/>
    <w:rsid w:val="00ED5BD9"/>
    <w:rsid w:val="00ED66F8"/>
    <w:rsid w:val="00EE0821"/>
    <w:rsid w:val="00EE2A6E"/>
    <w:rsid w:val="00EE4B1A"/>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219B"/>
    <w:rsid w:val="00F1561E"/>
    <w:rsid w:val="00F1673F"/>
    <w:rsid w:val="00F17444"/>
    <w:rsid w:val="00F2194B"/>
    <w:rsid w:val="00F22843"/>
    <w:rsid w:val="00F22DDF"/>
    <w:rsid w:val="00F232C9"/>
    <w:rsid w:val="00F23962"/>
    <w:rsid w:val="00F24EDF"/>
    <w:rsid w:val="00F260C1"/>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5A0"/>
    <w:rsid w:val="00F51761"/>
    <w:rsid w:val="00F51F26"/>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139C"/>
    <w:rsid w:val="00F81D5C"/>
    <w:rsid w:val="00F831F1"/>
    <w:rsid w:val="00F837C0"/>
    <w:rsid w:val="00F85C83"/>
    <w:rsid w:val="00F879E3"/>
    <w:rsid w:val="00F92AFC"/>
    <w:rsid w:val="00F9319E"/>
    <w:rsid w:val="00F959E4"/>
    <w:rsid w:val="00F96174"/>
    <w:rsid w:val="00F96C6A"/>
    <w:rsid w:val="00F978FD"/>
    <w:rsid w:val="00FA10A2"/>
    <w:rsid w:val="00FA18D3"/>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C6F"/>
    <w:rsid w:val="00FC74B6"/>
    <w:rsid w:val="00FC7E18"/>
    <w:rsid w:val="00FD2A94"/>
    <w:rsid w:val="00FD2F18"/>
    <w:rsid w:val="00FD34C1"/>
    <w:rsid w:val="00FD5169"/>
    <w:rsid w:val="00FD5325"/>
    <w:rsid w:val="00FD6B21"/>
    <w:rsid w:val="00FD74B6"/>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45621-5545-4945-92B7-5CD05C8E6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Engel, Rayna</cp:lastModifiedBy>
  <cp:revision>5</cp:revision>
  <cp:lastPrinted>2016-04-25T16:54:00Z</cp:lastPrinted>
  <dcterms:created xsi:type="dcterms:W3CDTF">2016-04-27T21:37:00Z</dcterms:created>
  <dcterms:modified xsi:type="dcterms:W3CDTF">2016-05-24T19:45:00Z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1232065224</vt:i4>
  </property>
</Properties>
</file>