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5B6540" w:rsidRDefault="00BE68B1" w:rsidP="000D1232">
            <w:pPr>
              <w:jc w:val="center"/>
            </w:pPr>
            <w:r w:rsidRPr="005B6540">
              <w:t>AGENDA/MINUT</w:t>
            </w:r>
            <w:r w:rsidR="007838E7" w:rsidRPr="005B6540">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1E513E">
            <w:pPr>
              <w:rPr>
                <w:rFonts w:asciiTheme="minorHAnsi" w:hAnsiTheme="minorHAnsi" w:cstheme="minorHAnsi"/>
              </w:rPr>
            </w:pPr>
            <w:r w:rsidRPr="005B6540">
              <w:rPr>
                <w:rFonts w:asciiTheme="minorHAnsi" w:hAnsiTheme="minorHAnsi" w:cstheme="minorHAnsi"/>
              </w:rPr>
              <w:t>Dean</w:t>
            </w:r>
            <w:r w:rsidR="00301D6E" w:rsidRPr="005B6540">
              <w:rPr>
                <w:rFonts w:asciiTheme="minorHAnsi" w:hAnsiTheme="minorHAnsi" w:cstheme="minorHAnsi"/>
              </w:rPr>
              <w:t>s</w:t>
            </w:r>
            <w:r w:rsidR="00B414F2" w:rsidRPr="005B6540">
              <w:rPr>
                <w:rFonts w:asciiTheme="minorHAnsi" w:hAnsiTheme="minorHAnsi" w:cstheme="minorHAnsi"/>
              </w:rPr>
              <w:t>’</w:t>
            </w:r>
            <w:r w:rsidR="004506C0" w:rsidRPr="005B6540">
              <w:rPr>
                <w:rFonts w:asciiTheme="minorHAnsi" w:hAnsiTheme="minorHAnsi" w:cstheme="minorHAnsi"/>
              </w:rPr>
              <w:t xml:space="preserve"> Meeting</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A169DA" w:rsidP="00850BDB">
            <w:pPr>
              <w:rPr>
                <w:rFonts w:asciiTheme="minorHAnsi" w:hAnsiTheme="minorHAnsi" w:cstheme="minorHAnsi"/>
              </w:rPr>
            </w:pPr>
            <w:r>
              <w:rPr>
                <w:rFonts w:asciiTheme="minorHAnsi" w:hAnsiTheme="minorHAnsi" w:cstheme="minorHAnsi"/>
              </w:rPr>
              <w:t>March 30</w:t>
            </w:r>
            <w:r w:rsidR="00F63B12">
              <w:rPr>
                <w:rFonts w:asciiTheme="minorHAnsi" w:hAnsiTheme="minorHAnsi" w:cstheme="minorHAnsi"/>
              </w:rPr>
              <w:t>, 2016</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F63B12" w:rsidP="00B51504">
            <w:pPr>
              <w:rPr>
                <w:rFonts w:asciiTheme="minorHAnsi" w:hAnsiTheme="minorHAnsi" w:cstheme="minorHAnsi"/>
              </w:rPr>
            </w:pPr>
            <w:r>
              <w:rPr>
                <w:rFonts w:asciiTheme="minorHAnsi" w:hAnsiTheme="minorHAnsi" w:cstheme="minorHAnsi"/>
              </w:rPr>
              <w:t>2:00 – 3:30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7838E7" w:rsidP="0089676B">
            <w:pPr>
              <w:rPr>
                <w:rFonts w:asciiTheme="minorHAnsi" w:hAnsiTheme="minorHAnsi" w:cstheme="minorHAnsi"/>
              </w:rPr>
            </w:pPr>
            <w:r w:rsidRPr="005B6540">
              <w:rPr>
                <w:rFonts w:asciiTheme="minorHAnsi" w:hAnsiTheme="minorHAnsi" w:cstheme="minorHAnsi"/>
              </w:rPr>
              <w:t>A-113/</w:t>
            </w:r>
            <w:r w:rsidR="001A0C66" w:rsidRPr="005B6540">
              <w:rPr>
                <w:rFonts w:asciiTheme="minorHAnsi" w:hAnsiTheme="minorHAnsi" w:cstheme="minorHAnsi"/>
              </w:rPr>
              <w:t xml:space="preserve">GoToMeeting </w:t>
            </w:r>
          </w:p>
        </w:tc>
      </w:tr>
    </w:tbl>
    <w:p w:rsidR="007838E7" w:rsidRPr="005B6540" w:rsidRDefault="007838E7">
      <w:pPr>
        <w:rPr>
          <w:rFonts w:asciiTheme="minorHAnsi" w:hAnsiTheme="minorHAnsi" w:cstheme="minorHAnsi"/>
          <w:szCs w:val="22"/>
        </w:rPr>
      </w:pPr>
    </w:p>
    <w:tbl>
      <w:tblPr>
        <w:tblW w:w="10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61"/>
        <w:gridCol w:w="2438"/>
        <w:gridCol w:w="361"/>
        <w:gridCol w:w="722"/>
        <w:gridCol w:w="1354"/>
        <w:gridCol w:w="272"/>
        <w:gridCol w:w="361"/>
        <w:gridCol w:w="2257"/>
      </w:tblGrid>
      <w:tr w:rsidR="007838E7" w:rsidRPr="005B6540" w:rsidTr="00E838FF">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07" w:type="dxa"/>
            <w:gridSpan w:val="5"/>
          </w:tcPr>
          <w:p w:rsidR="007838E7" w:rsidRPr="005B6540" w:rsidRDefault="00850044" w:rsidP="00137905">
            <w:pPr>
              <w:rPr>
                <w:rFonts w:asciiTheme="minorHAnsi" w:hAnsiTheme="minorHAnsi" w:cstheme="minorHAnsi"/>
              </w:rPr>
            </w:pPr>
            <w:r>
              <w:rPr>
                <w:rFonts w:asciiTheme="minorHAnsi" w:hAnsiTheme="minorHAnsi" w:cstheme="minorHAnsi"/>
                <w:szCs w:val="22"/>
              </w:rPr>
              <w:t xml:space="preserve">Dr. </w:t>
            </w:r>
            <w:r w:rsidR="00137905">
              <w:rPr>
                <w:rFonts w:asciiTheme="minorHAnsi" w:hAnsiTheme="minorHAnsi" w:cstheme="minorHAnsi"/>
                <w:szCs w:val="22"/>
              </w:rPr>
              <w:t>Garrett</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890" w:type="dxa"/>
            <w:gridSpan w:val="3"/>
          </w:tcPr>
          <w:p w:rsidR="007838E7" w:rsidRPr="005B6540" w:rsidRDefault="00C7184F" w:rsidP="00964985">
            <w:pPr>
              <w:jc w:val="center"/>
              <w:rPr>
                <w:rFonts w:asciiTheme="minorHAnsi" w:hAnsiTheme="minorHAnsi" w:cstheme="minorHAnsi"/>
              </w:rPr>
            </w:pPr>
            <w:r>
              <w:rPr>
                <w:rFonts w:asciiTheme="minorHAnsi" w:hAnsiTheme="minorHAnsi" w:cstheme="minorHAnsi"/>
                <w:szCs w:val="22"/>
              </w:rPr>
              <w:t>Rayna Engel</w:t>
            </w:r>
          </w:p>
        </w:tc>
      </w:tr>
      <w:tr w:rsidR="00684D51" w:rsidRPr="005B6540" w:rsidTr="00AE2579">
        <w:trPr>
          <w:trHeight w:val="462"/>
        </w:trPr>
        <w:tc>
          <w:tcPr>
            <w:tcW w:w="832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5B6540" w:rsidTr="00E838FF">
        <w:trPr>
          <w:trHeight w:val="270"/>
        </w:trPr>
        <w:tc>
          <w:tcPr>
            <w:tcW w:w="379" w:type="dxa"/>
          </w:tcPr>
          <w:p w:rsidR="00084428" w:rsidRPr="005B6540" w:rsidRDefault="007D3C2C">
            <w:pPr>
              <w:rPr>
                <w:rFonts w:asciiTheme="minorHAnsi" w:hAnsiTheme="minorHAnsi" w:cstheme="minorHAnsi"/>
              </w:rPr>
            </w:pPr>
            <w:r>
              <w:rPr>
                <w:rFonts w:asciiTheme="minorHAnsi" w:hAnsiTheme="minorHAnsi" w:cstheme="minorHAnsi"/>
              </w:rPr>
              <w:t>X</w:t>
            </w:r>
          </w:p>
        </w:tc>
        <w:tc>
          <w:tcPr>
            <w:tcW w:w="2438" w:type="dxa"/>
            <w:gridSpan w:val="2"/>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Richard Abel</w:t>
            </w:r>
          </w:p>
        </w:tc>
        <w:tc>
          <w:tcPr>
            <w:tcW w:w="361" w:type="dxa"/>
          </w:tcPr>
          <w:p w:rsidR="00084428" w:rsidRPr="005B6540" w:rsidRDefault="007D3C2C">
            <w:pPr>
              <w:rPr>
                <w:rFonts w:asciiTheme="minorHAnsi" w:hAnsiTheme="minorHAnsi" w:cstheme="minorHAnsi"/>
              </w:rPr>
            </w:pPr>
            <w:r>
              <w:rPr>
                <w:rFonts w:asciiTheme="minorHAnsi" w:hAnsiTheme="minorHAnsi" w:cstheme="minorHAnsi"/>
              </w:rPr>
              <w:t>X</w:t>
            </w:r>
          </w:p>
        </w:tc>
        <w:tc>
          <w:tcPr>
            <w:tcW w:w="2438" w:type="dxa"/>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Elaine Simmons</w:t>
            </w:r>
          </w:p>
        </w:tc>
        <w:tc>
          <w:tcPr>
            <w:tcW w:w="361" w:type="dxa"/>
          </w:tcPr>
          <w:p w:rsidR="00084428" w:rsidRPr="005B6540" w:rsidRDefault="007D3C2C">
            <w:pPr>
              <w:rPr>
                <w:rFonts w:asciiTheme="minorHAnsi" w:hAnsiTheme="minorHAnsi" w:cstheme="minorHAnsi"/>
              </w:rPr>
            </w:pPr>
            <w:r>
              <w:rPr>
                <w:rFonts w:asciiTheme="minorHAnsi" w:hAnsiTheme="minorHAnsi" w:cstheme="minorHAnsi"/>
              </w:rPr>
              <w:t>X</w:t>
            </w:r>
          </w:p>
        </w:tc>
        <w:tc>
          <w:tcPr>
            <w:tcW w:w="2348" w:type="dxa"/>
            <w:gridSpan w:val="3"/>
          </w:tcPr>
          <w:p w:rsidR="00084428" w:rsidRPr="005B6540" w:rsidRDefault="00084428" w:rsidP="008709D0">
            <w:pPr>
              <w:rPr>
                <w:rFonts w:asciiTheme="minorHAnsi" w:hAnsiTheme="minorHAnsi" w:cstheme="minorHAnsi"/>
              </w:rPr>
            </w:pPr>
            <w:r w:rsidRPr="005B6540">
              <w:rPr>
                <w:rFonts w:asciiTheme="minorHAnsi" w:hAnsiTheme="minorHAnsi" w:cstheme="minorHAnsi"/>
                <w:sz w:val="22"/>
                <w:szCs w:val="22"/>
              </w:rPr>
              <w:t>Bill Nash</w:t>
            </w:r>
          </w:p>
        </w:tc>
        <w:tc>
          <w:tcPr>
            <w:tcW w:w="361" w:type="dxa"/>
          </w:tcPr>
          <w:p w:rsidR="00084428" w:rsidRPr="005B6540" w:rsidRDefault="00084428">
            <w:pPr>
              <w:rPr>
                <w:rFonts w:asciiTheme="minorHAnsi" w:hAnsiTheme="minorHAnsi" w:cstheme="minorHAnsi"/>
              </w:rPr>
            </w:pPr>
          </w:p>
        </w:tc>
        <w:tc>
          <w:tcPr>
            <w:tcW w:w="2257" w:type="dxa"/>
          </w:tcPr>
          <w:p w:rsidR="00084428" w:rsidRPr="005B6540" w:rsidRDefault="00084428">
            <w:pPr>
              <w:rPr>
                <w:rFonts w:asciiTheme="minorHAnsi" w:hAnsiTheme="minorHAnsi" w:cstheme="minorHAnsi"/>
              </w:rPr>
            </w:pPr>
          </w:p>
        </w:tc>
      </w:tr>
      <w:tr w:rsidR="00084428" w:rsidRPr="005B6540" w:rsidTr="00E838FF">
        <w:trPr>
          <w:trHeight w:val="270"/>
        </w:trPr>
        <w:tc>
          <w:tcPr>
            <w:tcW w:w="379" w:type="dxa"/>
          </w:tcPr>
          <w:p w:rsidR="00084428" w:rsidRPr="005B6540" w:rsidRDefault="007D3C2C" w:rsidP="00AD633F">
            <w:pPr>
              <w:rPr>
                <w:rFonts w:asciiTheme="minorHAnsi" w:hAnsiTheme="minorHAnsi" w:cstheme="minorHAnsi"/>
              </w:rPr>
            </w:pPr>
            <w:r>
              <w:rPr>
                <w:rFonts w:asciiTheme="minorHAnsi" w:hAnsiTheme="minorHAnsi" w:cstheme="minorHAnsi"/>
              </w:rPr>
              <w:t>X</w:t>
            </w:r>
          </w:p>
        </w:tc>
        <w:tc>
          <w:tcPr>
            <w:tcW w:w="2438" w:type="dxa"/>
            <w:gridSpan w:val="2"/>
          </w:tcPr>
          <w:p w:rsidR="00084428" w:rsidRPr="005B6540" w:rsidRDefault="00084428" w:rsidP="00AD633F">
            <w:pPr>
              <w:rPr>
                <w:rFonts w:asciiTheme="minorHAnsi" w:hAnsiTheme="minorHAnsi" w:cstheme="minorHAnsi"/>
              </w:rPr>
            </w:pPr>
            <w:r w:rsidRPr="005B6540">
              <w:rPr>
                <w:rFonts w:asciiTheme="minorHAnsi" w:hAnsiTheme="minorHAnsi" w:cstheme="minorHAnsi"/>
                <w:sz w:val="22"/>
                <w:szCs w:val="22"/>
              </w:rPr>
              <w:t>Angie Maddy</w:t>
            </w:r>
          </w:p>
        </w:tc>
        <w:tc>
          <w:tcPr>
            <w:tcW w:w="361" w:type="dxa"/>
          </w:tcPr>
          <w:p w:rsidR="00084428" w:rsidRPr="005B6540" w:rsidRDefault="007D3C2C" w:rsidP="00AD633F">
            <w:pPr>
              <w:rPr>
                <w:rFonts w:asciiTheme="minorHAnsi" w:hAnsiTheme="minorHAnsi" w:cstheme="minorHAnsi"/>
              </w:rPr>
            </w:pPr>
            <w:r>
              <w:rPr>
                <w:rFonts w:asciiTheme="minorHAnsi" w:hAnsiTheme="minorHAnsi" w:cstheme="minorHAnsi"/>
              </w:rPr>
              <w:t>X</w:t>
            </w:r>
          </w:p>
        </w:tc>
        <w:tc>
          <w:tcPr>
            <w:tcW w:w="2438" w:type="dxa"/>
          </w:tcPr>
          <w:p w:rsidR="00084428" w:rsidRPr="005B6540" w:rsidRDefault="00084428" w:rsidP="00AD633F">
            <w:pPr>
              <w:rPr>
                <w:rFonts w:asciiTheme="minorHAnsi" w:hAnsiTheme="minorHAnsi" w:cstheme="minorHAnsi"/>
                <w:sz w:val="22"/>
                <w:szCs w:val="22"/>
              </w:rPr>
            </w:pPr>
            <w:r w:rsidRPr="005B6540">
              <w:rPr>
                <w:rFonts w:asciiTheme="minorHAnsi" w:hAnsiTheme="minorHAnsi" w:cstheme="minorHAnsi"/>
                <w:sz w:val="22"/>
                <w:szCs w:val="22"/>
              </w:rPr>
              <w:t>Ange Sullivan</w:t>
            </w:r>
          </w:p>
        </w:tc>
        <w:tc>
          <w:tcPr>
            <w:tcW w:w="361" w:type="dxa"/>
          </w:tcPr>
          <w:p w:rsidR="00084428" w:rsidRPr="005B6540" w:rsidRDefault="007D3C2C" w:rsidP="00AD633F">
            <w:pPr>
              <w:rPr>
                <w:rFonts w:asciiTheme="minorHAnsi" w:hAnsiTheme="minorHAnsi" w:cstheme="minorHAnsi"/>
              </w:rPr>
            </w:pPr>
            <w:r>
              <w:rPr>
                <w:rFonts w:asciiTheme="minorHAnsi" w:hAnsiTheme="minorHAnsi" w:cstheme="minorHAnsi"/>
              </w:rPr>
              <w:t>X</w:t>
            </w:r>
          </w:p>
        </w:tc>
        <w:tc>
          <w:tcPr>
            <w:tcW w:w="2348" w:type="dxa"/>
            <w:gridSpan w:val="3"/>
          </w:tcPr>
          <w:p w:rsidR="00084428" w:rsidRPr="005B6540" w:rsidRDefault="00EF639C" w:rsidP="00AD633F">
            <w:pPr>
              <w:rPr>
                <w:rFonts w:asciiTheme="minorHAnsi" w:hAnsiTheme="minorHAnsi" w:cstheme="minorHAnsi"/>
                <w:sz w:val="22"/>
                <w:szCs w:val="22"/>
              </w:rPr>
            </w:pPr>
            <w:r>
              <w:rPr>
                <w:rFonts w:asciiTheme="minorHAnsi" w:hAnsiTheme="minorHAnsi" w:cstheme="minorHAnsi"/>
                <w:sz w:val="22"/>
                <w:szCs w:val="22"/>
              </w:rPr>
              <w:t>Ashley Anderson</w:t>
            </w: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327"/>
        </w:trPr>
        <w:tc>
          <w:tcPr>
            <w:tcW w:w="10943"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E838FF">
        <w:trPr>
          <w:trHeight w:val="270"/>
        </w:trPr>
        <w:tc>
          <w:tcPr>
            <w:tcW w:w="379" w:type="dxa"/>
          </w:tcPr>
          <w:p w:rsidR="00084428" w:rsidRPr="005B6540" w:rsidRDefault="007D3C2C" w:rsidP="00AD633F">
            <w:pPr>
              <w:rPr>
                <w:rFonts w:asciiTheme="minorHAnsi" w:hAnsiTheme="minorHAnsi" w:cstheme="minorHAnsi"/>
              </w:rPr>
            </w:pPr>
            <w:r>
              <w:rPr>
                <w:rFonts w:asciiTheme="minorHAnsi" w:hAnsiTheme="minorHAnsi" w:cstheme="minorHAnsi"/>
              </w:rPr>
              <w:t>X</w:t>
            </w:r>
          </w:p>
        </w:tc>
        <w:tc>
          <w:tcPr>
            <w:tcW w:w="2438" w:type="dxa"/>
            <w:gridSpan w:val="2"/>
          </w:tcPr>
          <w:p w:rsidR="00084428" w:rsidRPr="00C853AF" w:rsidRDefault="00A169DA" w:rsidP="00AD633F">
            <w:pPr>
              <w:rPr>
                <w:rFonts w:asciiTheme="minorHAnsi" w:hAnsiTheme="minorHAnsi" w:cstheme="minorHAnsi"/>
                <w:sz w:val="22"/>
                <w:szCs w:val="22"/>
              </w:rPr>
            </w:pPr>
            <w:r>
              <w:rPr>
                <w:rFonts w:asciiTheme="minorHAnsi" w:hAnsiTheme="minorHAnsi" w:cstheme="minorHAnsi"/>
                <w:sz w:val="22"/>
                <w:szCs w:val="22"/>
              </w:rPr>
              <w:t>Regina Casper</w:t>
            </w:r>
          </w:p>
        </w:tc>
        <w:tc>
          <w:tcPr>
            <w:tcW w:w="361"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8D76C3">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8D76C3" w:rsidP="00AD633F">
            <w:pPr>
              <w:rPr>
                <w:rFonts w:asciiTheme="minorHAnsi" w:hAnsiTheme="minorHAnsi" w:cstheme="minorHAnsi"/>
                <w:strike/>
                <w:sz w:val="22"/>
                <w:szCs w:val="22"/>
              </w:rPr>
            </w:pPr>
            <w:r>
              <w:rPr>
                <w:rFonts w:asciiTheme="minorHAnsi" w:hAnsiTheme="minorHAnsi"/>
                <w:sz w:val="22"/>
                <w:szCs w:val="22"/>
              </w:rPr>
              <w:t xml:space="preserve"> </w:t>
            </w:r>
            <w:r w:rsidR="008D52A4" w:rsidRPr="009A1BB2">
              <w:rPr>
                <w:rFonts w:asciiTheme="minorHAnsi" w:hAnsiTheme="minorHAnsi"/>
                <w:strike/>
                <w:sz w:val="22"/>
                <w:szCs w:val="22"/>
              </w:rPr>
              <w:t xml:space="preserve"> </w:t>
            </w:r>
          </w:p>
        </w:tc>
        <w:tc>
          <w:tcPr>
            <w:tcW w:w="361"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65"/>
        </w:trPr>
        <w:tc>
          <w:tcPr>
            <w:tcW w:w="8686"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257"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457EFD" w:rsidRPr="005B6540" w:rsidTr="00523881">
        <w:trPr>
          <w:trHeight w:val="1016"/>
        </w:trPr>
        <w:tc>
          <w:tcPr>
            <w:tcW w:w="8686" w:type="dxa"/>
            <w:gridSpan w:val="10"/>
            <w:tcBorders>
              <w:bottom w:val="single" w:sz="4" w:space="0" w:color="000000"/>
            </w:tcBorders>
            <w:shd w:val="clear" w:color="auto" w:fill="auto"/>
          </w:tcPr>
          <w:p w:rsidR="00457EFD" w:rsidRDefault="00457EFD" w:rsidP="006240A2">
            <w:pPr>
              <w:rPr>
                <w:rFonts w:asciiTheme="minorHAnsi" w:hAnsiTheme="minorHAnsi" w:cstheme="minorHAnsi"/>
              </w:rPr>
            </w:pPr>
          </w:p>
          <w:p w:rsidR="00457EFD" w:rsidRDefault="00457EFD" w:rsidP="006240A2">
            <w:pPr>
              <w:rPr>
                <w:rFonts w:asciiTheme="minorHAnsi" w:hAnsiTheme="minorHAnsi" w:cstheme="minorHAnsi"/>
              </w:rPr>
            </w:pPr>
            <w:r>
              <w:rPr>
                <w:rFonts w:asciiTheme="minorHAnsi" w:hAnsiTheme="minorHAnsi" w:cstheme="minorHAnsi"/>
              </w:rPr>
              <w:t>Minutes from Last Meeting (attachment)</w:t>
            </w:r>
            <w:bookmarkStart w:id="0" w:name="_GoBack"/>
            <w:bookmarkEnd w:id="0"/>
          </w:p>
        </w:tc>
        <w:tc>
          <w:tcPr>
            <w:tcW w:w="2257" w:type="dxa"/>
            <w:tcBorders>
              <w:bottom w:val="single" w:sz="4" w:space="0" w:color="000000"/>
            </w:tcBorders>
            <w:shd w:val="clear" w:color="auto" w:fill="auto"/>
          </w:tcPr>
          <w:p w:rsidR="00457EFD" w:rsidRDefault="00457EFD" w:rsidP="006240A2">
            <w:pPr>
              <w:jc w:val="center"/>
              <w:rPr>
                <w:rFonts w:asciiTheme="minorHAnsi" w:hAnsiTheme="minorHAnsi" w:cstheme="minorHAnsi"/>
              </w:rPr>
            </w:pPr>
          </w:p>
          <w:p w:rsidR="00457EFD" w:rsidRDefault="00457EFD" w:rsidP="006240A2">
            <w:pPr>
              <w:jc w:val="center"/>
              <w:rPr>
                <w:rFonts w:asciiTheme="minorHAnsi" w:hAnsiTheme="minorHAnsi" w:cstheme="minorHAnsi"/>
              </w:rPr>
            </w:pPr>
            <w:r>
              <w:rPr>
                <w:rFonts w:asciiTheme="minorHAnsi" w:hAnsiTheme="minorHAnsi" w:cstheme="minorHAnsi"/>
              </w:rPr>
              <w:t>N/A</w:t>
            </w:r>
          </w:p>
        </w:tc>
      </w:tr>
      <w:tr w:rsidR="008D76C3" w:rsidRPr="005B6540" w:rsidTr="00523881">
        <w:trPr>
          <w:trHeight w:val="1016"/>
        </w:trPr>
        <w:tc>
          <w:tcPr>
            <w:tcW w:w="8686" w:type="dxa"/>
            <w:gridSpan w:val="10"/>
            <w:tcBorders>
              <w:bottom w:val="single" w:sz="4" w:space="0" w:color="000000"/>
            </w:tcBorders>
            <w:shd w:val="clear" w:color="auto" w:fill="auto"/>
          </w:tcPr>
          <w:p w:rsidR="008D76C3" w:rsidRDefault="008D76C3" w:rsidP="006240A2">
            <w:pPr>
              <w:rPr>
                <w:rFonts w:asciiTheme="minorHAnsi" w:hAnsiTheme="minorHAnsi" w:cstheme="minorHAnsi"/>
              </w:rPr>
            </w:pPr>
          </w:p>
          <w:p w:rsidR="008D76C3" w:rsidRDefault="00A169DA" w:rsidP="006240A2">
            <w:pPr>
              <w:rPr>
                <w:rFonts w:asciiTheme="minorHAnsi" w:hAnsiTheme="minorHAnsi"/>
              </w:rPr>
            </w:pPr>
            <w:r>
              <w:rPr>
                <w:rFonts w:asciiTheme="minorHAnsi" w:hAnsiTheme="minorHAnsi"/>
              </w:rPr>
              <w:t>Provide infor</w:t>
            </w:r>
            <w:r w:rsidR="005F6E2A">
              <w:rPr>
                <w:rFonts w:asciiTheme="minorHAnsi" w:hAnsiTheme="minorHAnsi"/>
              </w:rPr>
              <w:t>mation on Library Resource Awareness</w:t>
            </w:r>
          </w:p>
          <w:p w:rsidR="00E61DB4" w:rsidRDefault="00E61DB4" w:rsidP="006240A2">
            <w:pPr>
              <w:rPr>
                <w:rFonts w:asciiTheme="minorHAnsi" w:hAnsiTheme="minorHAnsi"/>
                <w:color w:val="FFC000"/>
              </w:rPr>
            </w:pPr>
            <w:r>
              <w:rPr>
                <w:rFonts w:asciiTheme="minorHAnsi" w:hAnsiTheme="minorHAnsi"/>
                <w:color w:val="FFC000"/>
              </w:rPr>
              <w:t xml:space="preserve">Regina would like input on ways to inform/educate people (students and faculty) about Library Resources, which is located on the Portal. Would it help to add a tab/link in another place to improve usage? The Library currently has an internal site on the VP Page. Elaine </w:t>
            </w:r>
            <w:r w:rsidR="00522202">
              <w:rPr>
                <w:rFonts w:asciiTheme="minorHAnsi" w:hAnsiTheme="minorHAnsi"/>
                <w:color w:val="FFC000"/>
              </w:rPr>
              <w:t>shared that sh</w:t>
            </w:r>
            <w:r w:rsidR="006676EA">
              <w:rPr>
                <w:rFonts w:asciiTheme="minorHAnsi" w:hAnsiTheme="minorHAnsi"/>
                <w:color w:val="FFC000"/>
              </w:rPr>
              <w:t xml:space="preserve">e felt sometimes less options are actually better </w:t>
            </w:r>
            <w:r w:rsidR="00522202">
              <w:rPr>
                <w:rFonts w:asciiTheme="minorHAnsi" w:hAnsiTheme="minorHAnsi"/>
                <w:color w:val="FFC000"/>
              </w:rPr>
              <w:t xml:space="preserve">(easier to guide and educate them to one specific location). Elaine again recommends all the information LIVE on the Library internal webpage. Design one space for student information and one space or faculty information. </w:t>
            </w:r>
          </w:p>
          <w:p w:rsidR="007D4D7A" w:rsidRPr="00E61DB4" w:rsidRDefault="007D4D7A" w:rsidP="006240A2">
            <w:pPr>
              <w:rPr>
                <w:rFonts w:asciiTheme="minorHAnsi" w:hAnsiTheme="minorHAnsi" w:cstheme="minorHAnsi"/>
                <w:color w:val="FFC000"/>
              </w:rPr>
            </w:pPr>
          </w:p>
        </w:tc>
        <w:tc>
          <w:tcPr>
            <w:tcW w:w="2257" w:type="dxa"/>
            <w:tcBorders>
              <w:bottom w:val="single" w:sz="4" w:space="0" w:color="000000"/>
            </w:tcBorders>
            <w:shd w:val="clear" w:color="auto" w:fill="auto"/>
          </w:tcPr>
          <w:p w:rsidR="008D76C3" w:rsidRDefault="008D76C3" w:rsidP="006240A2">
            <w:pPr>
              <w:jc w:val="center"/>
              <w:rPr>
                <w:rFonts w:asciiTheme="minorHAnsi" w:hAnsiTheme="minorHAnsi" w:cstheme="minorHAnsi"/>
              </w:rPr>
            </w:pPr>
          </w:p>
          <w:p w:rsidR="005F6E2A" w:rsidRDefault="005F6E2A" w:rsidP="006240A2">
            <w:pPr>
              <w:jc w:val="center"/>
              <w:rPr>
                <w:rFonts w:asciiTheme="minorHAnsi" w:hAnsiTheme="minorHAnsi" w:cstheme="minorHAnsi"/>
              </w:rPr>
            </w:pPr>
            <w:r>
              <w:rPr>
                <w:rFonts w:asciiTheme="minorHAnsi" w:hAnsiTheme="minorHAnsi" w:cstheme="minorHAnsi"/>
              </w:rPr>
              <w:t>Regina Casper</w:t>
            </w:r>
          </w:p>
        </w:tc>
      </w:tr>
      <w:tr w:rsidR="00A86249" w:rsidRPr="005B6540" w:rsidTr="00523881">
        <w:trPr>
          <w:trHeight w:val="1016"/>
        </w:trPr>
        <w:tc>
          <w:tcPr>
            <w:tcW w:w="8686" w:type="dxa"/>
            <w:gridSpan w:val="10"/>
            <w:tcBorders>
              <w:bottom w:val="single" w:sz="4" w:space="0" w:color="000000"/>
            </w:tcBorders>
            <w:shd w:val="clear" w:color="auto" w:fill="auto"/>
          </w:tcPr>
          <w:p w:rsidR="00505EAD" w:rsidRDefault="00A169DA" w:rsidP="00D76238">
            <w:r>
              <w:t xml:space="preserve"> </w:t>
            </w:r>
          </w:p>
          <w:p w:rsidR="008D2DDD" w:rsidRDefault="008D2DDD" w:rsidP="006240A2">
            <w:pPr>
              <w:rPr>
                <w:rFonts w:asciiTheme="minorHAnsi" w:hAnsiTheme="minorHAnsi" w:cstheme="minorHAnsi"/>
              </w:rPr>
            </w:pPr>
            <w:r>
              <w:rPr>
                <w:rFonts w:asciiTheme="minorHAnsi" w:hAnsiTheme="minorHAnsi" w:cstheme="minorHAnsi"/>
              </w:rPr>
              <w:t>Online Proctoring Solutions</w:t>
            </w:r>
          </w:p>
          <w:p w:rsidR="00522202" w:rsidRDefault="00522202" w:rsidP="006240A2">
            <w:pPr>
              <w:rPr>
                <w:rFonts w:asciiTheme="minorHAnsi" w:hAnsiTheme="minorHAnsi" w:cstheme="minorHAnsi"/>
                <w:color w:val="FFC000"/>
              </w:rPr>
            </w:pPr>
            <w:r>
              <w:rPr>
                <w:rFonts w:asciiTheme="minorHAnsi" w:hAnsiTheme="minorHAnsi" w:cstheme="minorHAnsi"/>
                <w:color w:val="FFC000"/>
              </w:rPr>
              <w:t xml:space="preserve">A committee looked at different proctoring methods and the group decided on BioSig. Essentially the student has kind of an autograph – the student authenticates that they are </w:t>
            </w:r>
            <w:r w:rsidR="006676EA">
              <w:rPr>
                <w:rFonts w:asciiTheme="minorHAnsi" w:hAnsiTheme="minorHAnsi" w:cstheme="minorHAnsi"/>
                <w:color w:val="FFC000"/>
              </w:rPr>
              <w:t>indeed who they claim to be</w:t>
            </w:r>
            <w:r>
              <w:rPr>
                <w:rFonts w:asciiTheme="minorHAnsi" w:hAnsiTheme="minorHAnsi" w:cstheme="minorHAnsi"/>
                <w:color w:val="FFC000"/>
              </w:rPr>
              <w:t xml:space="preserve"> – before they are allowed access. Angie M asked if this tool randomly makes the student authenticate during the testing process? Ange shared it does not allow </w:t>
            </w:r>
            <w:r w:rsidR="00D50318">
              <w:rPr>
                <w:rFonts w:asciiTheme="minorHAnsi" w:hAnsiTheme="minorHAnsi" w:cstheme="minorHAnsi"/>
                <w:color w:val="FFC000"/>
              </w:rPr>
              <w:t>additional access by another person during a session</w:t>
            </w:r>
            <w:r>
              <w:rPr>
                <w:rFonts w:asciiTheme="minorHAnsi" w:hAnsiTheme="minorHAnsi" w:cstheme="minorHAnsi"/>
                <w:color w:val="FFC000"/>
              </w:rPr>
              <w:t>. However, this method will not prevent ‘cheating’ amongst i.e. ro</w:t>
            </w:r>
            <w:r w:rsidR="006676EA">
              <w:rPr>
                <w:rFonts w:asciiTheme="minorHAnsi" w:hAnsiTheme="minorHAnsi" w:cstheme="minorHAnsi"/>
                <w:color w:val="FFC000"/>
              </w:rPr>
              <w:t>ommates. But</w:t>
            </w:r>
            <w:r>
              <w:rPr>
                <w:rFonts w:asciiTheme="minorHAnsi" w:hAnsiTheme="minorHAnsi" w:cstheme="minorHAnsi"/>
                <w:color w:val="FFC000"/>
              </w:rPr>
              <w:t xml:space="preserve"> Ange S. </w:t>
            </w:r>
            <w:r w:rsidR="007D4D7A">
              <w:rPr>
                <w:rFonts w:asciiTheme="minorHAnsi" w:hAnsiTheme="minorHAnsi" w:cstheme="minorHAnsi"/>
                <w:color w:val="FFC000"/>
              </w:rPr>
              <w:t xml:space="preserve">said that this company does offer very attractive reporting options. </w:t>
            </w:r>
            <w:r w:rsidR="007D4D7A" w:rsidRPr="00D50318">
              <w:rPr>
                <w:rFonts w:asciiTheme="minorHAnsi" w:hAnsiTheme="minorHAnsi" w:cstheme="minorHAnsi"/>
                <w:color w:val="92D050"/>
              </w:rPr>
              <w:t xml:space="preserve">She also stated that instructors have recommended using this for assignments, </w:t>
            </w:r>
            <w:r w:rsidR="006676EA" w:rsidRPr="00D50318">
              <w:rPr>
                <w:rFonts w:asciiTheme="minorHAnsi" w:hAnsiTheme="minorHAnsi" w:cstheme="minorHAnsi"/>
                <w:color w:val="92D050"/>
              </w:rPr>
              <w:t>while</w:t>
            </w:r>
            <w:r w:rsidR="007D4D7A" w:rsidRPr="00D50318">
              <w:rPr>
                <w:rFonts w:asciiTheme="minorHAnsi" w:hAnsiTheme="minorHAnsi" w:cstheme="minorHAnsi"/>
                <w:color w:val="92D050"/>
              </w:rPr>
              <w:t xml:space="preserve"> continuing to use another proctor method for the final exam.</w:t>
            </w:r>
            <w:r w:rsidR="007D4D7A">
              <w:rPr>
                <w:rFonts w:asciiTheme="minorHAnsi" w:hAnsiTheme="minorHAnsi" w:cstheme="minorHAnsi"/>
                <w:color w:val="FFC000"/>
              </w:rPr>
              <w:t xml:space="preserve"> </w:t>
            </w:r>
            <w:r w:rsidR="00D50318">
              <w:rPr>
                <w:rFonts w:asciiTheme="minorHAnsi" w:hAnsiTheme="minorHAnsi" w:cstheme="minorHAnsi"/>
                <w:color w:val="92D050"/>
              </w:rPr>
              <w:t xml:space="preserve">??? </w:t>
            </w:r>
            <w:r w:rsidR="007D4D7A">
              <w:rPr>
                <w:rFonts w:asciiTheme="minorHAnsi" w:hAnsiTheme="minorHAnsi" w:cstheme="minorHAnsi"/>
                <w:color w:val="FFC000"/>
              </w:rPr>
              <w:t>Angie M. shared that Edukan has been using BioSig for a number of years. The group felt comfortable moving forward with this process.</w:t>
            </w:r>
          </w:p>
          <w:p w:rsidR="007D4D7A" w:rsidRPr="00522202" w:rsidRDefault="007D4D7A" w:rsidP="006240A2">
            <w:pPr>
              <w:rPr>
                <w:rFonts w:asciiTheme="minorHAnsi" w:hAnsiTheme="minorHAnsi" w:cstheme="minorHAnsi"/>
                <w:color w:val="FFC000"/>
              </w:rPr>
            </w:pPr>
          </w:p>
        </w:tc>
        <w:tc>
          <w:tcPr>
            <w:tcW w:w="2257" w:type="dxa"/>
            <w:tcBorders>
              <w:bottom w:val="single" w:sz="4" w:space="0" w:color="000000"/>
            </w:tcBorders>
            <w:shd w:val="clear" w:color="auto" w:fill="auto"/>
          </w:tcPr>
          <w:p w:rsidR="00A86249" w:rsidRDefault="00A86249" w:rsidP="006240A2">
            <w:pPr>
              <w:jc w:val="center"/>
              <w:rPr>
                <w:rFonts w:asciiTheme="minorHAnsi" w:hAnsiTheme="minorHAnsi" w:cstheme="minorHAnsi"/>
              </w:rPr>
            </w:pPr>
          </w:p>
          <w:p w:rsidR="008D2DDD" w:rsidRDefault="008D2DDD" w:rsidP="006240A2">
            <w:pPr>
              <w:jc w:val="center"/>
              <w:rPr>
                <w:rFonts w:asciiTheme="minorHAnsi" w:hAnsiTheme="minorHAnsi" w:cstheme="minorHAnsi"/>
              </w:rPr>
            </w:pPr>
            <w:r>
              <w:rPr>
                <w:rFonts w:asciiTheme="minorHAnsi" w:hAnsiTheme="minorHAnsi" w:cstheme="minorHAnsi"/>
              </w:rPr>
              <w:t>Ange Sullivan</w:t>
            </w:r>
          </w:p>
        </w:tc>
      </w:tr>
      <w:tr w:rsidR="00EA4681" w:rsidRPr="005B6540" w:rsidTr="00AE2579">
        <w:trPr>
          <w:trHeight w:val="531"/>
        </w:trPr>
        <w:tc>
          <w:tcPr>
            <w:tcW w:w="8686" w:type="dxa"/>
            <w:gridSpan w:val="10"/>
            <w:tcBorders>
              <w:bottom w:val="single" w:sz="4" w:space="0" w:color="000000"/>
            </w:tcBorders>
            <w:shd w:val="clear" w:color="auto" w:fill="auto"/>
          </w:tcPr>
          <w:p w:rsidR="00523881" w:rsidRDefault="00523881" w:rsidP="006240A2">
            <w:pPr>
              <w:rPr>
                <w:rFonts w:asciiTheme="minorHAnsi" w:hAnsiTheme="minorHAnsi" w:cstheme="minorHAnsi"/>
              </w:rPr>
            </w:pPr>
          </w:p>
          <w:p w:rsidR="00326E15" w:rsidRDefault="00A90A91" w:rsidP="006240A2">
            <w:pPr>
              <w:rPr>
                <w:rFonts w:asciiTheme="minorHAnsi" w:hAnsiTheme="minorHAnsi" w:cstheme="minorHAnsi"/>
              </w:rPr>
            </w:pPr>
            <w:r>
              <w:rPr>
                <w:rFonts w:asciiTheme="minorHAnsi" w:hAnsiTheme="minorHAnsi" w:cstheme="minorHAnsi"/>
              </w:rPr>
              <w:t xml:space="preserve">Presentation of </w:t>
            </w:r>
            <w:r w:rsidR="00D76238">
              <w:rPr>
                <w:rFonts w:asciiTheme="minorHAnsi" w:hAnsiTheme="minorHAnsi" w:cstheme="minorHAnsi"/>
              </w:rPr>
              <w:t>EDUC XXXX First Year Experience Seminar Proposal for Fall 2016 (attachment)</w:t>
            </w:r>
          </w:p>
          <w:p w:rsidR="007D4D7A" w:rsidRDefault="007D4D7A" w:rsidP="006240A2">
            <w:pPr>
              <w:rPr>
                <w:rFonts w:asciiTheme="minorHAnsi" w:hAnsiTheme="minorHAnsi" w:cstheme="minorHAnsi"/>
                <w:color w:val="FFC000"/>
              </w:rPr>
            </w:pPr>
            <w:r>
              <w:rPr>
                <w:rFonts w:asciiTheme="minorHAnsi" w:hAnsiTheme="minorHAnsi" w:cstheme="minorHAnsi"/>
                <w:color w:val="FFC000"/>
              </w:rPr>
              <w:lastRenderedPageBreak/>
              <w:t xml:space="preserve">Angie Maddy shared some information about the happenings of the Student Success course </w:t>
            </w:r>
            <w:r w:rsidR="006676EA">
              <w:rPr>
                <w:rFonts w:asciiTheme="minorHAnsi" w:hAnsiTheme="minorHAnsi" w:cstheme="minorHAnsi"/>
                <w:color w:val="FFC000"/>
              </w:rPr>
              <w:t>events</w:t>
            </w:r>
            <w:r>
              <w:rPr>
                <w:rFonts w:asciiTheme="minorHAnsi" w:hAnsiTheme="minorHAnsi" w:cstheme="minorHAnsi"/>
                <w:color w:val="FFC000"/>
              </w:rPr>
              <w:t xml:space="preserve">/meetings. She does not feel confident that some of the content recommended to be taken from the Student Success course should be eliminated. </w:t>
            </w:r>
          </w:p>
          <w:p w:rsidR="007D4D7A" w:rsidRDefault="007D4D7A" w:rsidP="006240A2">
            <w:pPr>
              <w:rPr>
                <w:rFonts w:asciiTheme="minorHAnsi" w:hAnsiTheme="minorHAnsi" w:cstheme="minorHAnsi"/>
                <w:color w:val="FFC000"/>
              </w:rPr>
            </w:pPr>
            <w:r>
              <w:rPr>
                <w:rFonts w:asciiTheme="minorHAnsi" w:hAnsiTheme="minorHAnsi" w:cstheme="minorHAnsi"/>
                <w:color w:val="FFC000"/>
              </w:rPr>
              <w:t>Barton has met with FHSU regarding their First Experience program and feels it would be more valuable to do a comparison with colleges like ‘us’. Although Student Success is a great tool and we like to require that students take this course, there is no way to detect that each student takes this.</w:t>
            </w:r>
          </w:p>
          <w:p w:rsidR="007D4D7A" w:rsidRDefault="007D4D7A" w:rsidP="006240A2">
            <w:pPr>
              <w:rPr>
                <w:rFonts w:asciiTheme="minorHAnsi" w:hAnsiTheme="minorHAnsi" w:cstheme="minorHAnsi"/>
                <w:color w:val="FFC000"/>
              </w:rPr>
            </w:pPr>
            <w:r>
              <w:rPr>
                <w:rFonts w:asciiTheme="minorHAnsi" w:hAnsiTheme="minorHAnsi" w:cstheme="minorHAnsi"/>
                <w:color w:val="FFC000"/>
              </w:rPr>
              <w:t xml:space="preserve">The First Experience course will be piloted in Fall 2016. </w:t>
            </w:r>
            <w:r w:rsidR="005B0EBF">
              <w:rPr>
                <w:rFonts w:asciiTheme="minorHAnsi" w:hAnsiTheme="minorHAnsi" w:cstheme="minorHAnsi"/>
                <w:color w:val="FFC000"/>
              </w:rPr>
              <w:t xml:space="preserve">How will advisors know what students to place in this class? Largely be on the SSS personnel to identify these students. </w:t>
            </w:r>
          </w:p>
          <w:p w:rsidR="005B0EBF" w:rsidRDefault="005B0EBF" w:rsidP="006240A2">
            <w:pPr>
              <w:rPr>
                <w:rFonts w:asciiTheme="minorHAnsi" w:hAnsiTheme="minorHAnsi" w:cstheme="minorHAnsi"/>
                <w:color w:val="FFC000"/>
              </w:rPr>
            </w:pPr>
            <w:r>
              <w:rPr>
                <w:rFonts w:asciiTheme="minorHAnsi" w:hAnsiTheme="minorHAnsi" w:cstheme="minorHAnsi"/>
                <w:color w:val="FFC000"/>
              </w:rPr>
              <w:t>A lot of opinion questioning the material contained in the First Experience course vs. Student Success? Do we really need this new course? Why would we replace or revamp the Student Success course when it is successful.</w:t>
            </w:r>
          </w:p>
          <w:p w:rsidR="005B0EBF" w:rsidRPr="005B0EBF" w:rsidRDefault="005B0EBF" w:rsidP="006240A2">
            <w:pPr>
              <w:rPr>
                <w:rFonts w:asciiTheme="minorHAnsi" w:hAnsiTheme="minorHAnsi" w:cstheme="minorHAnsi"/>
                <w:color w:val="92D050"/>
              </w:rPr>
            </w:pPr>
            <w:r w:rsidRPr="005B0EBF">
              <w:rPr>
                <w:rFonts w:asciiTheme="minorHAnsi" w:hAnsiTheme="minorHAnsi" w:cstheme="minorHAnsi"/>
                <w:color w:val="92D050"/>
              </w:rPr>
              <w:t>Rick will present more information at the next meeting.</w:t>
            </w:r>
          </w:p>
          <w:p w:rsidR="00523881" w:rsidRDefault="00523881" w:rsidP="006240A2">
            <w:pPr>
              <w:rPr>
                <w:rFonts w:asciiTheme="minorHAnsi" w:hAnsiTheme="minorHAnsi" w:cstheme="minorHAnsi"/>
              </w:rPr>
            </w:pPr>
          </w:p>
        </w:tc>
        <w:tc>
          <w:tcPr>
            <w:tcW w:w="2257" w:type="dxa"/>
            <w:tcBorders>
              <w:bottom w:val="single" w:sz="4" w:space="0" w:color="000000"/>
            </w:tcBorders>
            <w:shd w:val="clear" w:color="auto" w:fill="auto"/>
          </w:tcPr>
          <w:p w:rsidR="00A90A91" w:rsidRDefault="00A169DA" w:rsidP="00EA4681">
            <w:pPr>
              <w:jc w:val="center"/>
              <w:rPr>
                <w:rFonts w:asciiTheme="minorHAnsi" w:hAnsiTheme="minorHAnsi" w:cstheme="minorHAnsi"/>
              </w:rPr>
            </w:pPr>
            <w:r>
              <w:rPr>
                <w:rFonts w:asciiTheme="minorHAnsi" w:hAnsiTheme="minorHAnsi" w:cstheme="minorHAnsi"/>
              </w:rPr>
              <w:lastRenderedPageBreak/>
              <w:t xml:space="preserve"> </w:t>
            </w:r>
          </w:p>
          <w:p w:rsidR="00D76238" w:rsidRDefault="00D76238" w:rsidP="00EA4681">
            <w:pPr>
              <w:jc w:val="center"/>
              <w:rPr>
                <w:rFonts w:asciiTheme="minorHAnsi" w:hAnsiTheme="minorHAnsi" w:cstheme="minorHAnsi"/>
              </w:rPr>
            </w:pPr>
            <w:r>
              <w:rPr>
                <w:rFonts w:asciiTheme="minorHAnsi" w:hAnsiTheme="minorHAnsi" w:cstheme="minorHAnsi"/>
              </w:rPr>
              <w:t>Dr. Abel</w:t>
            </w:r>
          </w:p>
        </w:tc>
      </w:tr>
      <w:tr w:rsidR="00C7184F" w:rsidRPr="005B6540" w:rsidTr="00AE2579">
        <w:trPr>
          <w:trHeight w:val="531"/>
        </w:trPr>
        <w:tc>
          <w:tcPr>
            <w:tcW w:w="8686" w:type="dxa"/>
            <w:gridSpan w:val="10"/>
            <w:tcBorders>
              <w:bottom w:val="single" w:sz="4" w:space="0" w:color="000000"/>
            </w:tcBorders>
            <w:shd w:val="clear" w:color="auto" w:fill="auto"/>
          </w:tcPr>
          <w:p w:rsidR="00D76238" w:rsidRDefault="00D76238" w:rsidP="006240A2">
            <w:pPr>
              <w:rPr>
                <w:rFonts w:asciiTheme="minorHAnsi" w:hAnsiTheme="minorHAnsi" w:cstheme="minorHAnsi"/>
              </w:rPr>
            </w:pPr>
          </w:p>
          <w:p w:rsidR="008D52A4" w:rsidRDefault="00D76238" w:rsidP="006240A2">
            <w:pPr>
              <w:rPr>
                <w:rFonts w:asciiTheme="minorHAnsi" w:hAnsiTheme="minorHAnsi" w:cstheme="minorHAnsi"/>
              </w:rPr>
            </w:pPr>
            <w:r>
              <w:rPr>
                <w:rFonts w:asciiTheme="minorHAnsi" w:hAnsiTheme="minorHAnsi" w:cstheme="minorHAnsi"/>
              </w:rPr>
              <w:t>2 + 2 Barton CC Emergency Management – Barton/Kansas-Wesleyan (attachment)</w:t>
            </w:r>
          </w:p>
          <w:p w:rsidR="005B0EBF" w:rsidRPr="005B0EBF" w:rsidRDefault="005B0EBF" w:rsidP="006240A2">
            <w:pPr>
              <w:rPr>
                <w:rFonts w:asciiTheme="minorHAnsi" w:hAnsiTheme="minorHAnsi" w:cstheme="minorHAnsi"/>
                <w:color w:val="FFC000"/>
              </w:rPr>
            </w:pPr>
            <w:r>
              <w:rPr>
                <w:rFonts w:asciiTheme="minorHAnsi" w:hAnsiTheme="minorHAnsi" w:cstheme="minorHAnsi"/>
                <w:color w:val="FFC000"/>
              </w:rPr>
              <w:t>This is something that has been in the making for a couple years now. They were waiting on some additional online course offerings. They will take anything required in our AAS degree, and then stee</w:t>
            </w:r>
            <w:r w:rsidR="006676EA">
              <w:rPr>
                <w:rFonts w:asciiTheme="minorHAnsi" w:hAnsiTheme="minorHAnsi" w:cstheme="minorHAnsi"/>
                <w:color w:val="FFC000"/>
              </w:rPr>
              <w:t>r</w:t>
            </w:r>
            <w:r>
              <w:rPr>
                <w:rFonts w:asciiTheme="minorHAnsi" w:hAnsiTheme="minorHAnsi" w:cstheme="minorHAnsi"/>
                <w:color w:val="FFC000"/>
              </w:rPr>
              <w:t xml:space="preserve"> in the proper direction for that particular student. Elaine stated that she agrees with Bill regarding K-State’s lack of interest in cooperating with Barton relating to 2 + 2 programs. </w:t>
            </w:r>
            <w:r w:rsidR="000A3627">
              <w:rPr>
                <w:rFonts w:asciiTheme="minorHAnsi" w:hAnsiTheme="minorHAnsi" w:cstheme="minorHAnsi"/>
                <w:color w:val="FFC000"/>
              </w:rPr>
              <w:t>Ashley wanted to know what kind of timeframe we are looking at? Bill stated here and now. Dr. Garrett instructed Bill to send the information to Lori and then submit for required signatures.</w:t>
            </w:r>
          </w:p>
          <w:p w:rsidR="006240A2" w:rsidRDefault="006240A2" w:rsidP="006240A2">
            <w:pPr>
              <w:rPr>
                <w:rFonts w:asciiTheme="minorHAnsi" w:hAnsiTheme="minorHAnsi" w:cstheme="minorHAnsi"/>
              </w:rPr>
            </w:pPr>
          </w:p>
        </w:tc>
        <w:tc>
          <w:tcPr>
            <w:tcW w:w="2257" w:type="dxa"/>
            <w:tcBorders>
              <w:bottom w:val="single" w:sz="4" w:space="0" w:color="000000"/>
            </w:tcBorders>
            <w:shd w:val="clear" w:color="auto" w:fill="auto"/>
          </w:tcPr>
          <w:p w:rsidR="00D76238" w:rsidRDefault="00D76238">
            <w:pPr>
              <w:jc w:val="center"/>
              <w:rPr>
                <w:rFonts w:asciiTheme="minorHAnsi" w:hAnsiTheme="minorHAnsi" w:cstheme="minorHAnsi"/>
              </w:rPr>
            </w:pPr>
          </w:p>
          <w:p w:rsidR="00C26EF8" w:rsidRDefault="00D76238">
            <w:pPr>
              <w:jc w:val="center"/>
              <w:rPr>
                <w:rFonts w:asciiTheme="minorHAnsi" w:hAnsiTheme="minorHAnsi" w:cstheme="minorHAnsi"/>
              </w:rPr>
            </w:pPr>
            <w:r>
              <w:rPr>
                <w:rFonts w:asciiTheme="minorHAnsi" w:hAnsiTheme="minorHAnsi" w:cstheme="minorHAnsi"/>
              </w:rPr>
              <w:t>Bill Nash</w:t>
            </w:r>
          </w:p>
        </w:tc>
      </w:tr>
      <w:tr w:rsidR="00CA7BFA" w:rsidRPr="005B6540" w:rsidTr="00AE2579">
        <w:trPr>
          <w:trHeight w:val="65"/>
        </w:trPr>
        <w:tc>
          <w:tcPr>
            <w:tcW w:w="8686" w:type="dxa"/>
            <w:gridSpan w:val="10"/>
            <w:tcBorders>
              <w:bottom w:val="single" w:sz="4" w:space="0" w:color="000000"/>
            </w:tcBorders>
            <w:shd w:val="clear" w:color="auto" w:fill="auto"/>
          </w:tcPr>
          <w:p w:rsidR="00457EFD" w:rsidRDefault="00457EFD" w:rsidP="00D76238">
            <w:pPr>
              <w:tabs>
                <w:tab w:val="num" w:pos="360"/>
              </w:tabs>
              <w:rPr>
                <w:rFonts w:asciiTheme="minorHAnsi" w:hAnsiTheme="minorHAnsi" w:cstheme="minorHAnsi"/>
              </w:rPr>
            </w:pPr>
          </w:p>
          <w:p w:rsidR="00D76238" w:rsidRDefault="00D76238" w:rsidP="00D76238">
            <w:pPr>
              <w:tabs>
                <w:tab w:val="num" w:pos="360"/>
              </w:tabs>
              <w:rPr>
                <w:rFonts w:asciiTheme="minorHAnsi" w:hAnsiTheme="minorHAnsi" w:cstheme="minorHAnsi"/>
              </w:rPr>
            </w:pPr>
            <w:r>
              <w:rPr>
                <w:rFonts w:asciiTheme="minorHAnsi" w:hAnsiTheme="minorHAnsi" w:cstheme="minorHAnsi"/>
              </w:rPr>
              <w:t>Faculty Qualifying Credentials:</w:t>
            </w:r>
          </w:p>
          <w:p w:rsidR="00731279" w:rsidRDefault="00731279" w:rsidP="00D76238">
            <w:pPr>
              <w:pStyle w:val="ListParagraph"/>
              <w:numPr>
                <w:ilvl w:val="0"/>
                <w:numId w:val="3"/>
              </w:numPr>
              <w:tabs>
                <w:tab w:val="num" w:pos="360"/>
              </w:tabs>
            </w:pPr>
            <w:r w:rsidRPr="000D1232">
              <w:t>Status Update – Deadline?</w:t>
            </w:r>
          </w:p>
          <w:p w:rsidR="000A3627" w:rsidRDefault="000A3627" w:rsidP="000A3627">
            <w:pPr>
              <w:pStyle w:val="ListParagraph"/>
              <w:rPr>
                <w:color w:val="FFC000"/>
              </w:rPr>
            </w:pPr>
            <w:r>
              <w:rPr>
                <w:color w:val="FFC000"/>
              </w:rPr>
              <w:t xml:space="preserve">Elaine – Excited she now has one spreadsheet that includes all review information. Her department has devised a plan and they are working on this process. They may be about ½ done in total. In her area, she is not as worried about credentialing, more worried about retirements. </w:t>
            </w:r>
          </w:p>
          <w:p w:rsidR="000A3627" w:rsidRDefault="000A3627" w:rsidP="000A3627">
            <w:pPr>
              <w:pStyle w:val="ListParagraph"/>
              <w:rPr>
                <w:color w:val="FFC000"/>
              </w:rPr>
            </w:pPr>
            <w:r>
              <w:rPr>
                <w:color w:val="FFC000"/>
              </w:rPr>
              <w:t>Ashley – Same as Elaine. Not done. Fort Leavenworth is completely done. Full time at Ft. Riley are complete. The adjun</w:t>
            </w:r>
            <w:r w:rsidR="006676EA">
              <w:rPr>
                <w:color w:val="FFC000"/>
              </w:rPr>
              <w:t>cts/online faculty are a work</w:t>
            </w:r>
            <w:r>
              <w:rPr>
                <w:color w:val="FFC000"/>
              </w:rPr>
              <w:t xml:space="preserve"> in process. The process is slow-moving and ever-changing. </w:t>
            </w:r>
          </w:p>
          <w:p w:rsidR="000A3627" w:rsidRPr="000A3627" w:rsidRDefault="000A3627" w:rsidP="000A3627">
            <w:pPr>
              <w:pStyle w:val="ListParagraph"/>
              <w:rPr>
                <w:color w:val="FFC000"/>
              </w:rPr>
            </w:pPr>
          </w:p>
          <w:p w:rsidR="00731279" w:rsidRPr="00BC4E8C" w:rsidRDefault="00731279" w:rsidP="00D76238">
            <w:pPr>
              <w:pStyle w:val="ListParagraph"/>
              <w:numPr>
                <w:ilvl w:val="0"/>
                <w:numId w:val="3"/>
              </w:numPr>
              <w:rPr>
                <w:rStyle w:val="Hyperlink"/>
                <w:color w:val="auto"/>
                <w:u w:val="none"/>
              </w:rPr>
            </w:pPr>
            <w:r w:rsidRPr="000D1232">
              <w:t xml:space="preserve">Evaluation of Courses: </w:t>
            </w:r>
            <w:hyperlink r:id="rId8" w:history="1">
              <w:r w:rsidRPr="00D76238">
                <w:rPr>
                  <w:rStyle w:val="Hyperlink"/>
                  <w:rFonts w:asciiTheme="minorHAnsi" w:hAnsiTheme="minorHAnsi" w:cstheme="minorHAnsi"/>
                </w:rPr>
                <w:t>http://www.converse.edu/office/registrar/course-offerings-academic-catalogs/</w:t>
              </w:r>
            </w:hyperlink>
          </w:p>
          <w:p w:rsidR="00C853AF" w:rsidRDefault="00BC4E8C" w:rsidP="00D50318">
            <w:pPr>
              <w:pStyle w:val="ListParagraph"/>
              <w:rPr>
                <w:color w:val="FFC000"/>
              </w:rPr>
            </w:pPr>
            <w:r>
              <w:rPr>
                <w:color w:val="FFC000"/>
              </w:rPr>
              <w:t xml:space="preserve">Dr. Garrett questions whether or not HLC would look at transcript matter in depth. </w:t>
            </w:r>
            <w:r w:rsidR="00C46E1E">
              <w:rPr>
                <w:color w:val="FFC000"/>
              </w:rPr>
              <w:t xml:space="preserve">The majority thinks the decision makes sense. </w:t>
            </w:r>
          </w:p>
          <w:p w:rsidR="00D50318" w:rsidRPr="00CA7BFA" w:rsidRDefault="00D50318" w:rsidP="00D50318">
            <w:pPr>
              <w:pStyle w:val="ListParagraph"/>
              <w:rPr>
                <w:rFonts w:asciiTheme="minorHAnsi" w:hAnsiTheme="minorHAnsi" w:cstheme="minorHAnsi"/>
              </w:rPr>
            </w:pPr>
          </w:p>
        </w:tc>
        <w:tc>
          <w:tcPr>
            <w:tcW w:w="2257" w:type="dxa"/>
            <w:tcBorders>
              <w:bottom w:val="single" w:sz="4" w:space="0" w:color="000000"/>
            </w:tcBorders>
            <w:shd w:val="clear" w:color="auto" w:fill="auto"/>
          </w:tcPr>
          <w:p w:rsidR="00457EFD" w:rsidRDefault="00457EFD" w:rsidP="006240A2">
            <w:pPr>
              <w:jc w:val="center"/>
              <w:rPr>
                <w:rFonts w:asciiTheme="minorHAnsi" w:hAnsiTheme="minorHAnsi" w:cstheme="minorHAnsi"/>
              </w:rPr>
            </w:pPr>
          </w:p>
          <w:p w:rsidR="00CA7BFA" w:rsidRPr="00CA7BFA" w:rsidRDefault="00457EFD" w:rsidP="006240A2">
            <w:pPr>
              <w:jc w:val="center"/>
              <w:rPr>
                <w:rFonts w:asciiTheme="minorHAnsi" w:hAnsiTheme="minorHAnsi" w:cstheme="minorHAnsi"/>
              </w:rPr>
            </w:pPr>
            <w:r>
              <w:rPr>
                <w:rFonts w:asciiTheme="minorHAnsi" w:hAnsiTheme="minorHAnsi" w:cstheme="minorHAnsi"/>
              </w:rPr>
              <w:t>Dr. Garrett</w:t>
            </w:r>
            <w:r w:rsidR="00A169DA">
              <w:rPr>
                <w:rFonts w:asciiTheme="minorHAnsi" w:hAnsiTheme="minorHAnsi" w:cstheme="minorHAnsi"/>
              </w:rPr>
              <w:t xml:space="preserve"> </w:t>
            </w:r>
          </w:p>
        </w:tc>
      </w:tr>
      <w:tr w:rsidR="00216220" w:rsidRPr="005B6540" w:rsidTr="00AE2579">
        <w:trPr>
          <w:trHeight w:val="878"/>
        </w:trPr>
        <w:tc>
          <w:tcPr>
            <w:tcW w:w="8686" w:type="dxa"/>
            <w:gridSpan w:val="10"/>
            <w:shd w:val="clear" w:color="auto" w:fill="auto"/>
          </w:tcPr>
          <w:p w:rsidR="00216220" w:rsidRDefault="00216220" w:rsidP="006240A2"/>
          <w:p w:rsidR="009A1BB2" w:rsidRDefault="00A169DA" w:rsidP="006240A2">
            <w:r>
              <w:t xml:space="preserve"> </w:t>
            </w:r>
            <w:r w:rsidR="00457EFD">
              <w:t>Bookstore Issues – New Company</w:t>
            </w:r>
          </w:p>
          <w:p w:rsidR="00C46E1E" w:rsidRPr="00C46E1E" w:rsidRDefault="00C46E1E" w:rsidP="006240A2">
            <w:pPr>
              <w:rPr>
                <w:color w:val="FFC000"/>
              </w:rPr>
            </w:pPr>
            <w:r>
              <w:rPr>
                <w:color w:val="FFC000"/>
              </w:rPr>
              <w:t>Ange is having issues keeping books in stock. Ange is looking at eCampus textbooks as a new Bookstore Company. Mark D. also suggested using this same company for a Great Bend campus bookstore online ordering option.</w:t>
            </w:r>
          </w:p>
          <w:p w:rsidR="009A1BB2" w:rsidRPr="00457EFD" w:rsidRDefault="00A169DA" w:rsidP="006240A2">
            <w:pPr>
              <w:rPr>
                <w:color w:val="FF0000"/>
              </w:rPr>
            </w:pPr>
            <w:r>
              <w:t xml:space="preserve"> </w:t>
            </w:r>
          </w:p>
        </w:tc>
        <w:tc>
          <w:tcPr>
            <w:tcW w:w="2257" w:type="dxa"/>
            <w:shd w:val="clear" w:color="auto" w:fill="auto"/>
          </w:tcPr>
          <w:p w:rsidR="00457EFD" w:rsidRDefault="00457EFD" w:rsidP="006240A2">
            <w:pPr>
              <w:jc w:val="center"/>
            </w:pPr>
          </w:p>
          <w:p w:rsidR="00731279" w:rsidRDefault="00457EFD" w:rsidP="006240A2">
            <w:pPr>
              <w:jc w:val="center"/>
            </w:pPr>
            <w:r>
              <w:t>Ange Sullivan</w:t>
            </w:r>
          </w:p>
        </w:tc>
      </w:tr>
      <w:tr w:rsidR="00C92634" w:rsidRPr="005B6540" w:rsidTr="00AE2579">
        <w:trPr>
          <w:trHeight w:val="878"/>
        </w:trPr>
        <w:tc>
          <w:tcPr>
            <w:tcW w:w="8686" w:type="dxa"/>
            <w:gridSpan w:val="10"/>
            <w:shd w:val="clear" w:color="auto" w:fill="auto"/>
          </w:tcPr>
          <w:p w:rsidR="005C7D18" w:rsidRDefault="005C7D18" w:rsidP="006240A2"/>
          <w:p w:rsidR="005C7D18" w:rsidRPr="00457EFD" w:rsidRDefault="00A169DA" w:rsidP="006240A2">
            <w:r>
              <w:t xml:space="preserve"> </w:t>
            </w:r>
            <w:r w:rsidR="00457EFD">
              <w:t>Email – Official Address</w:t>
            </w:r>
          </w:p>
          <w:p w:rsidR="00C46E1E" w:rsidRDefault="00C46E1E" w:rsidP="006240A2">
            <w:pPr>
              <w:rPr>
                <w:color w:val="FFC000"/>
              </w:rPr>
            </w:pPr>
            <w:r>
              <w:rPr>
                <w:color w:val="FFC000"/>
              </w:rPr>
              <w:lastRenderedPageBreak/>
              <w:t xml:space="preserve">Discussion regarding requiring students to use their Barton email as the only email address. Are we going to keep Barton email as the primary source of communication? The problem was identified during the Canvas process. The emails uploaded are the Barton email addresses – which may or may not be the email used by the student. In Canvas, the student can add a different email address for communication – selecting it as their preferred email. Canvas currently allows students to then delete their Barton email. Angie Maddy brought forth discussion regarding the situation we have created by allowing students to use alternate emails. She believes if we would have stayed firm in using Barton’s email we would not have the questionable communication issues we are now faced with. Elaine agrees with Angie M. </w:t>
            </w:r>
          </w:p>
          <w:p w:rsidR="005C7D18" w:rsidRDefault="00C46E1E" w:rsidP="006240A2">
            <w:pPr>
              <w:rPr>
                <w:color w:val="FFC000"/>
              </w:rPr>
            </w:pPr>
            <w:r>
              <w:rPr>
                <w:color w:val="FFC000"/>
              </w:rPr>
              <w:t>Ange Sullivan’s recommendation is that a decision is made as to what email we are going to require students to use for communication and that we educate in that direction.</w:t>
            </w:r>
          </w:p>
          <w:p w:rsidR="00C46E1E" w:rsidRDefault="00C46E1E" w:rsidP="006240A2">
            <w:pPr>
              <w:rPr>
                <w:color w:val="FFC000"/>
              </w:rPr>
            </w:pPr>
            <w:r>
              <w:rPr>
                <w:color w:val="FFC000"/>
              </w:rPr>
              <w:t>In Canvas you can only prefer one email. Can Genius/Canvas provide students with the Barton email info upon initial setup.</w:t>
            </w:r>
          </w:p>
          <w:p w:rsidR="00C46E1E" w:rsidRPr="00C46E1E" w:rsidRDefault="00C46E1E" w:rsidP="006240A2">
            <w:pPr>
              <w:rPr>
                <w:color w:val="FFC000"/>
              </w:rPr>
            </w:pPr>
            <w:r>
              <w:rPr>
                <w:color w:val="FFC000"/>
              </w:rPr>
              <w:t>The group voted to continue as we are – promoting using Barton as the preferred student email option.</w:t>
            </w:r>
          </w:p>
        </w:tc>
        <w:tc>
          <w:tcPr>
            <w:tcW w:w="2257" w:type="dxa"/>
            <w:shd w:val="clear" w:color="auto" w:fill="auto"/>
          </w:tcPr>
          <w:p w:rsidR="00C92634" w:rsidRDefault="00A169DA" w:rsidP="006240A2">
            <w:pPr>
              <w:jc w:val="center"/>
            </w:pPr>
            <w:r>
              <w:lastRenderedPageBreak/>
              <w:t xml:space="preserve"> </w:t>
            </w:r>
          </w:p>
          <w:p w:rsidR="00457EFD" w:rsidRDefault="00457EFD" w:rsidP="006240A2">
            <w:pPr>
              <w:jc w:val="center"/>
            </w:pPr>
            <w:r>
              <w:t>Dr. Garrett</w:t>
            </w:r>
          </w:p>
        </w:tc>
      </w:tr>
      <w:tr w:rsidR="00457EFD" w:rsidRPr="005B6540" w:rsidTr="00AE2579">
        <w:trPr>
          <w:trHeight w:val="878"/>
        </w:trPr>
        <w:tc>
          <w:tcPr>
            <w:tcW w:w="8686" w:type="dxa"/>
            <w:gridSpan w:val="10"/>
            <w:shd w:val="clear" w:color="auto" w:fill="auto"/>
          </w:tcPr>
          <w:p w:rsidR="00457EFD" w:rsidRDefault="00457EFD" w:rsidP="006240A2"/>
          <w:p w:rsidR="00457EFD" w:rsidRDefault="00457EFD" w:rsidP="006240A2">
            <w:r>
              <w:t>Individual Departmental Meetings - (Adjunct, F2F, and Adjunct Online Faculty)</w:t>
            </w:r>
          </w:p>
          <w:p w:rsidR="00C46E1E" w:rsidRDefault="00C46E1E" w:rsidP="006240A2">
            <w:pPr>
              <w:rPr>
                <w:color w:val="FFC000"/>
              </w:rPr>
            </w:pPr>
            <w:r>
              <w:rPr>
                <w:color w:val="FFC000"/>
              </w:rPr>
              <w:t xml:space="preserve">Dr. Garrett asked if departmental meetings are currently being held within divisions? Elaine offered that every August Great Bend adjunct faculty are invited to a learning session. Dr. Garrett recommends ALL faculty –full-time/adjunct/online (at all locations) to come together for a meeting. They used to do it on a Saturday years ago. Dr. Garrett wants to know if this is do-able given current technology? Ange stated that she had recommended faculty uniting to discuss curriculum/etc., but there are dynamics involved. </w:t>
            </w:r>
          </w:p>
          <w:p w:rsidR="00C46E1E" w:rsidRDefault="00C46E1E" w:rsidP="006240A2">
            <w:pPr>
              <w:rPr>
                <w:color w:val="92D050"/>
              </w:rPr>
            </w:pPr>
            <w:r w:rsidRPr="00C46E1E">
              <w:rPr>
                <w:color w:val="92D050"/>
              </w:rPr>
              <w:t>Discuss further at next meeting.</w:t>
            </w:r>
          </w:p>
          <w:p w:rsidR="006676EA" w:rsidRPr="00C46E1E" w:rsidRDefault="006676EA" w:rsidP="006240A2">
            <w:pPr>
              <w:rPr>
                <w:color w:val="FFC000"/>
              </w:rPr>
            </w:pPr>
          </w:p>
        </w:tc>
        <w:tc>
          <w:tcPr>
            <w:tcW w:w="2257" w:type="dxa"/>
            <w:shd w:val="clear" w:color="auto" w:fill="auto"/>
          </w:tcPr>
          <w:p w:rsidR="00457EFD" w:rsidRDefault="00457EFD" w:rsidP="006240A2">
            <w:pPr>
              <w:jc w:val="center"/>
            </w:pPr>
          </w:p>
          <w:p w:rsidR="00457EFD" w:rsidRDefault="00457EFD" w:rsidP="006240A2">
            <w:pPr>
              <w:jc w:val="center"/>
            </w:pPr>
            <w:r>
              <w:t>Dr. Garrett</w:t>
            </w:r>
          </w:p>
        </w:tc>
      </w:tr>
      <w:tr w:rsidR="00457EFD" w:rsidRPr="005B6540" w:rsidTr="00AE2579">
        <w:trPr>
          <w:trHeight w:val="878"/>
        </w:trPr>
        <w:tc>
          <w:tcPr>
            <w:tcW w:w="8686" w:type="dxa"/>
            <w:gridSpan w:val="10"/>
            <w:shd w:val="clear" w:color="auto" w:fill="auto"/>
          </w:tcPr>
          <w:p w:rsidR="00457EFD" w:rsidRDefault="00457EFD" w:rsidP="006240A2"/>
          <w:p w:rsidR="00457EFD" w:rsidRDefault="00457EFD" w:rsidP="006240A2">
            <w:r>
              <w:t>Discussion Relating to Alignment of Coursework</w:t>
            </w:r>
          </w:p>
          <w:p w:rsidR="00C46E1E" w:rsidRDefault="00C46E1E" w:rsidP="006240A2">
            <w:pPr>
              <w:rPr>
                <w:color w:val="FFC000"/>
              </w:rPr>
            </w:pPr>
            <w:r>
              <w:rPr>
                <w:color w:val="FFC000"/>
              </w:rPr>
              <w:t>Discussion relating to a campus video on dissection. The group voted that content of that nature should not be videoed or aired for marketing purposes.</w:t>
            </w:r>
          </w:p>
          <w:p w:rsidR="006676EA" w:rsidRPr="00C46E1E" w:rsidRDefault="006676EA" w:rsidP="006240A2">
            <w:pPr>
              <w:rPr>
                <w:color w:val="FFC000"/>
              </w:rPr>
            </w:pPr>
          </w:p>
        </w:tc>
        <w:tc>
          <w:tcPr>
            <w:tcW w:w="2257" w:type="dxa"/>
            <w:shd w:val="clear" w:color="auto" w:fill="auto"/>
          </w:tcPr>
          <w:p w:rsidR="00457EFD" w:rsidRDefault="00457EFD" w:rsidP="006240A2">
            <w:pPr>
              <w:jc w:val="center"/>
            </w:pPr>
          </w:p>
          <w:p w:rsidR="00457EFD" w:rsidRDefault="00457EFD" w:rsidP="006240A2">
            <w:pPr>
              <w:jc w:val="center"/>
            </w:pPr>
            <w:r>
              <w:t>Dr. Garrett</w:t>
            </w:r>
          </w:p>
        </w:tc>
      </w:tr>
    </w:tbl>
    <w:p w:rsidR="00505EAD" w:rsidRDefault="00505EAD" w:rsidP="00505EAD"/>
    <w:p w:rsidR="008D76C3" w:rsidRDefault="008D76C3" w:rsidP="00505EAD"/>
    <w:p w:rsidR="00457EFD" w:rsidRDefault="00457EFD" w:rsidP="00505EAD"/>
    <w:p w:rsidR="00E838FF" w:rsidRDefault="00E838FF"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6676EA" w:rsidRDefault="006676EA" w:rsidP="00505EAD">
      <w:pPr>
        <w:rPr>
          <w:rFonts w:ascii="Arial" w:hAnsi="Arial"/>
          <w:b/>
          <w:bCs/>
          <w:color w:val="000000"/>
          <w:u w:val="single"/>
        </w:rPr>
      </w:pPr>
    </w:p>
    <w:p w:rsidR="00505EAD" w:rsidRDefault="00505EAD" w:rsidP="00505EAD">
      <w:pPr>
        <w:rPr>
          <w:rFonts w:ascii="Arial" w:hAnsi="Arial"/>
          <w:b/>
          <w:bCs/>
          <w:color w:val="000000"/>
          <w:sz w:val="22"/>
          <w:szCs w:val="22"/>
        </w:rPr>
      </w:pPr>
      <w:r>
        <w:rPr>
          <w:rFonts w:ascii="Arial" w:hAnsi="Arial"/>
          <w:b/>
          <w:bCs/>
          <w:color w:val="000000"/>
          <w:u w:val="single"/>
        </w:rPr>
        <w:t>ENDS</w:t>
      </w:r>
      <w:r>
        <w:rPr>
          <w:rFonts w:ascii="Arial" w:hAnsi="Arial"/>
          <w:b/>
          <w:bCs/>
          <w:color w:val="000000"/>
        </w:rPr>
        <w:t>:</w:t>
      </w:r>
    </w:p>
    <w:p w:rsidR="00505EAD" w:rsidRDefault="00505EAD" w:rsidP="00505EAD">
      <w:pPr>
        <w:ind w:left="450"/>
        <w:rPr>
          <w:rFonts w:ascii="Arial" w:hAnsi="Arial"/>
          <w:b/>
          <w:bCs/>
          <w:color w:val="000000"/>
        </w:rPr>
      </w:pPr>
      <w:r>
        <w:rPr>
          <w:rFonts w:ascii="Arial" w:hAnsi="Arial"/>
          <w:b/>
          <w:bCs/>
          <w:color w:val="000000"/>
        </w:rPr>
        <w:t>ESSENTIAL SKILLS                             “BARTON EXPERIENCE”</w:t>
      </w:r>
    </w:p>
    <w:p w:rsidR="00505EAD" w:rsidRDefault="00505EAD" w:rsidP="00505EAD">
      <w:pPr>
        <w:jc w:val="both"/>
        <w:rPr>
          <w:rFonts w:ascii="Arial" w:hAnsi="Arial"/>
          <w:b/>
          <w:bCs/>
          <w:color w:val="000000"/>
        </w:rPr>
      </w:pPr>
      <w:r>
        <w:rPr>
          <w:rFonts w:ascii="Arial" w:hAnsi="Arial"/>
          <w:b/>
          <w:bCs/>
          <w:color w:val="000000"/>
        </w:rPr>
        <w:t xml:space="preserve">        WORK PREPAREDNESS                    REGIONAL WORKFORCE NEEDS                        </w:t>
      </w:r>
    </w:p>
    <w:p w:rsidR="00505EAD" w:rsidRDefault="00505EAD" w:rsidP="00505EAD">
      <w:pPr>
        <w:jc w:val="both"/>
        <w:rPr>
          <w:rFonts w:ascii="Arial" w:hAnsi="Arial"/>
          <w:b/>
          <w:bCs/>
          <w:color w:val="000000"/>
        </w:rPr>
      </w:pPr>
      <w:r>
        <w:rPr>
          <w:rFonts w:ascii="Arial" w:hAnsi="Arial"/>
          <w:b/>
          <w:bCs/>
          <w:color w:val="000000"/>
        </w:rPr>
        <w:t xml:space="preserve">        ACADEMIC ADVANCEMENT             SERVICE REGIONS </w:t>
      </w:r>
    </w:p>
    <w:p w:rsidR="00505EAD" w:rsidRDefault="00505EAD" w:rsidP="00505EAD">
      <w:pPr>
        <w:ind w:left="450"/>
        <w:rPr>
          <w:rFonts w:ascii="Arial" w:hAnsi="Arial"/>
          <w:b/>
          <w:bCs/>
          <w:color w:val="000000"/>
        </w:rPr>
      </w:pPr>
      <w:r>
        <w:rPr>
          <w:rFonts w:ascii="Arial" w:hAnsi="Arial"/>
          <w:b/>
          <w:bCs/>
          <w:color w:val="000000"/>
        </w:rPr>
        <w:t>PERSONAL ENRICHMENT                 STRATEGIC PLANNING</w:t>
      </w:r>
    </w:p>
    <w:p w:rsidR="00505EAD" w:rsidRDefault="00505EAD" w:rsidP="00505EAD">
      <w:pPr>
        <w:ind w:left="450"/>
        <w:rPr>
          <w:rFonts w:ascii="Arial" w:hAnsi="Arial"/>
          <w:b/>
          <w:bCs/>
        </w:rPr>
      </w:pPr>
      <w:r>
        <w:rPr>
          <w:rFonts w:ascii="Arial" w:hAnsi="Arial"/>
          <w:b/>
          <w:bCs/>
        </w:rPr>
        <w:t>CONTINGENCY PLANNING</w:t>
      </w:r>
    </w:p>
    <w:p w:rsidR="00505EAD" w:rsidRDefault="00505EAD" w:rsidP="00505EAD">
      <w:pPr>
        <w:ind w:left="450"/>
        <w:rPr>
          <w:rFonts w:ascii="Arial" w:hAnsi="Arial"/>
          <w:b/>
          <w:bCs/>
        </w:rPr>
      </w:pPr>
      <w:r>
        <w:rPr>
          <w:rFonts w:cs="Times New Roman"/>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Default="00505EAD" w:rsidP="00505EAD">
      <w:pPr>
        <w:autoSpaceDE w:val="0"/>
        <w:autoSpaceDN w:val="0"/>
        <w:rPr>
          <w:rFonts w:ascii="Arial" w:hAnsi="Arial"/>
          <w:b/>
          <w:bCs/>
          <w:i/>
          <w:iCs/>
          <w:color w:val="0070C0"/>
        </w:rPr>
      </w:pPr>
      <w:r>
        <w:rPr>
          <w:rFonts w:ascii="Arial" w:hAnsi="Arial"/>
          <w:b/>
          <w:bCs/>
          <w:i/>
          <w:iCs/>
          <w:color w:val="0070C0"/>
        </w:rPr>
        <w:t xml:space="preserve">Barton Core Priorities/Strategic Plan Goals </w:t>
      </w:r>
    </w:p>
    <w:p w:rsidR="00505EAD" w:rsidRDefault="00505EAD" w:rsidP="00505EAD">
      <w:pPr>
        <w:autoSpaceDE w:val="0"/>
        <w:autoSpaceDN w:val="0"/>
        <w:rPr>
          <w:rFonts w:ascii="Arial" w:hAnsi="Arial"/>
          <w:b/>
          <w:bCs/>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Drive Student Success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1. Increase student retention and completion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2. Enhance the Quality of Teaching and Learning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Cultivate Community Engagement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3. Enhance Internal Communication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4. Enhance External Communication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Emphasize Institutional Effectiveness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5. Initiate periodic review of the Mission Statement and Vision Statement.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6. Through professional development, identify and create a training for understanding and use of process improvement methodologies.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Optimize Employee Experience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7. Develop more consistent &amp; robust employee orientation.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8. Enhance professional development system.</w:t>
      </w:r>
    </w:p>
    <w:p w:rsidR="00505EAD" w:rsidRDefault="00505EAD" w:rsidP="00505EAD">
      <w:pPr>
        <w:rPr>
          <w:rFonts w:cs="Times New Roman"/>
          <w:sz w:val="22"/>
          <w:szCs w:val="22"/>
        </w:rPr>
      </w:pPr>
    </w:p>
    <w:p w:rsidR="00505EAD" w:rsidRPr="005B6540" w:rsidRDefault="00505EAD" w:rsidP="00AA4FFC"/>
    <w:sectPr w:rsidR="00505EAD" w:rsidRPr="005B6540"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899" w:rsidRDefault="00AE1899" w:rsidP="00F24EDF">
      <w:r>
        <w:separator/>
      </w:r>
    </w:p>
  </w:endnote>
  <w:endnote w:type="continuationSeparator" w:id="0">
    <w:p w:rsidR="00AE1899" w:rsidRDefault="00AE1899"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899" w:rsidRDefault="00AE1899" w:rsidP="00F24EDF">
      <w:r>
        <w:separator/>
      </w:r>
    </w:p>
  </w:footnote>
  <w:footnote w:type="continuationSeparator" w:id="0">
    <w:p w:rsidR="00AE1899" w:rsidRDefault="00AE1899" w:rsidP="00F2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5771"/>
    <w:multiLevelType w:val="multilevel"/>
    <w:tmpl w:val="C39A5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835B8B"/>
    <w:multiLevelType w:val="hybridMultilevel"/>
    <w:tmpl w:val="2E76F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5B380E"/>
    <w:multiLevelType w:val="hybridMultilevel"/>
    <w:tmpl w:val="A5F07E10"/>
    <w:lvl w:ilvl="0" w:tplc="649AD854">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6D56"/>
    <w:rsid w:val="00006F28"/>
    <w:rsid w:val="000077ED"/>
    <w:rsid w:val="0001084E"/>
    <w:rsid w:val="00011671"/>
    <w:rsid w:val="00012E0C"/>
    <w:rsid w:val="00014489"/>
    <w:rsid w:val="00014850"/>
    <w:rsid w:val="0001497A"/>
    <w:rsid w:val="00015140"/>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A34"/>
    <w:rsid w:val="00051824"/>
    <w:rsid w:val="00054F4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6270"/>
    <w:rsid w:val="00087E15"/>
    <w:rsid w:val="000929E0"/>
    <w:rsid w:val="000931F9"/>
    <w:rsid w:val="00095654"/>
    <w:rsid w:val="00095C6D"/>
    <w:rsid w:val="0009665C"/>
    <w:rsid w:val="0009706E"/>
    <w:rsid w:val="000978CF"/>
    <w:rsid w:val="000A005F"/>
    <w:rsid w:val="000A292B"/>
    <w:rsid w:val="000A2DE3"/>
    <w:rsid w:val="000A3627"/>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232"/>
    <w:rsid w:val="000D1323"/>
    <w:rsid w:val="000D132A"/>
    <w:rsid w:val="000D1C7B"/>
    <w:rsid w:val="000D2C5C"/>
    <w:rsid w:val="000D6009"/>
    <w:rsid w:val="000D6A6B"/>
    <w:rsid w:val="000D6D1E"/>
    <w:rsid w:val="000D7B67"/>
    <w:rsid w:val="000D7F01"/>
    <w:rsid w:val="000E041F"/>
    <w:rsid w:val="000E590B"/>
    <w:rsid w:val="000E79ED"/>
    <w:rsid w:val="000F360A"/>
    <w:rsid w:val="000F44AF"/>
    <w:rsid w:val="000F4ECB"/>
    <w:rsid w:val="000F68F4"/>
    <w:rsid w:val="0010069B"/>
    <w:rsid w:val="00101417"/>
    <w:rsid w:val="0010217F"/>
    <w:rsid w:val="00103170"/>
    <w:rsid w:val="00104108"/>
    <w:rsid w:val="00105770"/>
    <w:rsid w:val="00105824"/>
    <w:rsid w:val="00113784"/>
    <w:rsid w:val="001147CA"/>
    <w:rsid w:val="001148C3"/>
    <w:rsid w:val="00114D7D"/>
    <w:rsid w:val="001157E3"/>
    <w:rsid w:val="00122A38"/>
    <w:rsid w:val="00123E31"/>
    <w:rsid w:val="001242E4"/>
    <w:rsid w:val="00124990"/>
    <w:rsid w:val="00124F92"/>
    <w:rsid w:val="00126201"/>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101D"/>
    <w:rsid w:val="0015169A"/>
    <w:rsid w:val="001519C9"/>
    <w:rsid w:val="00151D93"/>
    <w:rsid w:val="00153F25"/>
    <w:rsid w:val="00154B2D"/>
    <w:rsid w:val="00156D4C"/>
    <w:rsid w:val="001570E1"/>
    <w:rsid w:val="001579BA"/>
    <w:rsid w:val="00160538"/>
    <w:rsid w:val="001651E7"/>
    <w:rsid w:val="00165593"/>
    <w:rsid w:val="001700EC"/>
    <w:rsid w:val="00170E65"/>
    <w:rsid w:val="00171A0F"/>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DD2"/>
    <w:rsid w:val="0024156B"/>
    <w:rsid w:val="0024260C"/>
    <w:rsid w:val="00242CB6"/>
    <w:rsid w:val="00242DE4"/>
    <w:rsid w:val="0024424D"/>
    <w:rsid w:val="00245047"/>
    <w:rsid w:val="002455EB"/>
    <w:rsid w:val="002462A3"/>
    <w:rsid w:val="00247E22"/>
    <w:rsid w:val="00250329"/>
    <w:rsid w:val="00250B23"/>
    <w:rsid w:val="0025282A"/>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51E4"/>
    <w:rsid w:val="002E54EA"/>
    <w:rsid w:val="002E640E"/>
    <w:rsid w:val="002E6D00"/>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3A0"/>
    <w:rsid w:val="003229F8"/>
    <w:rsid w:val="0032411F"/>
    <w:rsid w:val="00324844"/>
    <w:rsid w:val="003260D1"/>
    <w:rsid w:val="003261E6"/>
    <w:rsid w:val="0032654E"/>
    <w:rsid w:val="00326DC9"/>
    <w:rsid w:val="00326E15"/>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E5"/>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401DFC"/>
    <w:rsid w:val="00402D3F"/>
    <w:rsid w:val="004064A4"/>
    <w:rsid w:val="00410EA5"/>
    <w:rsid w:val="004121B2"/>
    <w:rsid w:val="0041251D"/>
    <w:rsid w:val="00414C41"/>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40A2"/>
    <w:rsid w:val="0044582F"/>
    <w:rsid w:val="0044595F"/>
    <w:rsid w:val="00446BC3"/>
    <w:rsid w:val="0044755D"/>
    <w:rsid w:val="00447A6B"/>
    <w:rsid w:val="00447D7F"/>
    <w:rsid w:val="00450179"/>
    <w:rsid w:val="004506C0"/>
    <w:rsid w:val="00451832"/>
    <w:rsid w:val="004521A1"/>
    <w:rsid w:val="00452D35"/>
    <w:rsid w:val="00452DC8"/>
    <w:rsid w:val="004543F3"/>
    <w:rsid w:val="004547FD"/>
    <w:rsid w:val="00455D97"/>
    <w:rsid w:val="0045780D"/>
    <w:rsid w:val="00457EFD"/>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202"/>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5E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0EBF"/>
    <w:rsid w:val="005B159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5F6E2A"/>
    <w:rsid w:val="006028B3"/>
    <w:rsid w:val="0060430A"/>
    <w:rsid w:val="006044D5"/>
    <w:rsid w:val="00613274"/>
    <w:rsid w:val="006143CC"/>
    <w:rsid w:val="00614668"/>
    <w:rsid w:val="00615513"/>
    <w:rsid w:val="0062282D"/>
    <w:rsid w:val="00622B1B"/>
    <w:rsid w:val="00623764"/>
    <w:rsid w:val="006240A2"/>
    <w:rsid w:val="00627F44"/>
    <w:rsid w:val="00634042"/>
    <w:rsid w:val="006345FF"/>
    <w:rsid w:val="00635644"/>
    <w:rsid w:val="006356B8"/>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6EA"/>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90370"/>
    <w:rsid w:val="0069254B"/>
    <w:rsid w:val="00694B8B"/>
    <w:rsid w:val="0069538C"/>
    <w:rsid w:val="006963B5"/>
    <w:rsid w:val="006A01B6"/>
    <w:rsid w:val="006A4F06"/>
    <w:rsid w:val="006A52CD"/>
    <w:rsid w:val="006A604D"/>
    <w:rsid w:val="006A656F"/>
    <w:rsid w:val="006A68A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5927"/>
    <w:rsid w:val="006D5AD3"/>
    <w:rsid w:val="006D6265"/>
    <w:rsid w:val="006D6347"/>
    <w:rsid w:val="006D796B"/>
    <w:rsid w:val="006D7BDF"/>
    <w:rsid w:val="006D7EE0"/>
    <w:rsid w:val="006E007C"/>
    <w:rsid w:val="006E1DA1"/>
    <w:rsid w:val="006E28E7"/>
    <w:rsid w:val="006E2C49"/>
    <w:rsid w:val="006E3451"/>
    <w:rsid w:val="006E4414"/>
    <w:rsid w:val="006E53DB"/>
    <w:rsid w:val="006E5538"/>
    <w:rsid w:val="006E75B8"/>
    <w:rsid w:val="006E7A90"/>
    <w:rsid w:val="006F03E1"/>
    <w:rsid w:val="006F09BC"/>
    <w:rsid w:val="006F0C98"/>
    <w:rsid w:val="006F1670"/>
    <w:rsid w:val="006F29BD"/>
    <w:rsid w:val="006F3B15"/>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AE7"/>
    <w:rsid w:val="00720F91"/>
    <w:rsid w:val="00721A6A"/>
    <w:rsid w:val="00721B45"/>
    <w:rsid w:val="00723D51"/>
    <w:rsid w:val="0072435F"/>
    <w:rsid w:val="0072476F"/>
    <w:rsid w:val="00724E89"/>
    <w:rsid w:val="007257F9"/>
    <w:rsid w:val="0072696B"/>
    <w:rsid w:val="00726F6C"/>
    <w:rsid w:val="00731279"/>
    <w:rsid w:val="00731816"/>
    <w:rsid w:val="00732002"/>
    <w:rsid w:val="00732600"/>
    <w:rsid w:val="00734E2C"/>
    <w:rsid w:val="00735ABB"/>
    <w:rsid w:val="00736918"/>
    <w:rsid w:val="00741DA9"/>
    <w:rsid w:val="007425CB"/>
    <w:rsid w:val="0074273B"/>
    <w:rsid w:val="00742CC9"/>
    <w:rsid w:val="007439ED"/>
    <w:rsid w:val="00743EFE"/>
    <w:rsid w:val="007463CC"/>
    <w:rsid w:val="007502EA"/>
    <w:rsid w:val="00750668"/>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C2C"/>
    <w:rsid w:val="007D3F45"/>
    <w:rsid w:val="007D4ABB"/>
    <w:rsid w:val="007D4D7A"/>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67E9"/>
    <w:rsid w:val="008C789D"/>
    <w:rsid w:val="008D1345"/>
    <w:rsid w:val="008D181D"/>
    <w:rsid w:val="008D2DDD"/>
    <w:rsid w:val="008D2FC4"/>
    <w:rsid w:val="008D48CA"/>
    <w:rsid w:val="008D52A4"/>
    <w:rsid w:val="008D53A9"/>
    <w:rsid w:val="008D5AD6"/>
    <w:rsid w:val="008D63D5"/>
    <w:rsid w:val="008D6471"/>
    <w:rsid w:val="008D76C3"/>
    <w:rsid w:val="008E0D1D"/>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518A0"/>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8A0"/>
    <w:rsid w:val="00966FCA"/>
    <w:rsid w:val="00970700"/>
    <w:rsid w:val="00970AA5"/>
    <w:rsid w:val="00970D26"/>
    <w:rsid w:val="009711D7"/>
    <w:rsid w:val="00971321"/>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378F"/>
    <w:rsid w:val="00A04EE4"/>
    <w:rsid w:val="00A05089"/>
    <w:rsid w:val="00A06102"/>
    <w:rsid w:val="00A06191"/>
    <w:rsid w:val="00A07085"/>
    <w:rsid w:val="00A11CE5"/>
    <w:rsid w:val="00A1255F"/>
    <w:rsid w:val="00A1389E"/>
    <w:rsid w:val="00A13A41"/>
    <w:rsid w:val="00A144BC"/>
    <w:rsid w:val="00A14D19"/>
    <w:rsid w:val="00A1654A"/>
    <w:rsid w:val="00A168B2"/>
    <w:rsid w:val="00A169DA"/>
    <w:rsid w:val="00A173C1"/>
    <w:rsid w:val="00A2063F"/>
    <w:rsid w:val="00A21C4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5D18"/>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74"/>
    <w:rsid w:val="00A75FCC"/>
    <w:rsid w:val="00A7602F"/>
    <w:rsid w:val="00A76380"/>
    <w:rsid w:val="00A77851"/>
    <w:rsid w:val="00A80437"/>
    <w:rsid w:val="00A816E8"/>
    <w:rsid w:val="00A817EE"/>
    <w:rsid w:val="00A83AD2"/>
    <w:rsid w:val="00A84C06"/>
    <w:rsid w:val="00A86202"/>
    <w:rsid w:val="00A86249"/>
    <w:rsid w:val="00A87B9E"/>
    <w:rsid w:val="00A87CA9"/>
    <w:rsid w:val="00A90A91"/>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F04"/>
    <w:rsid w:val="00AB61AA"/>
    <w:rsid w:val="00AB7912"/>
    <w:rsid w:val="00AB7DCD"/>
    <w:rsid w:val="00AC0381"/>
    <w:rsid w:val="00AC0A65"/>
    <w:rsid w:val="00AC12E8"/>
    <w:rsid w:val="00AC1956"/>
    <w:rsid w:val="00AC28A6"/>
    <w:rsid w:val="00AC40AB"/>
    <w:rsid w:val="00AC4767"/>
    <w:rsid w:val="00AC6335"/>
    <w:rsid w:val="00AD1300"/>
    <w:rsid w:val="00AD248E"/>
    <w:rsid w:val="00AD316C"/>
    <w:rsid w:val="00AD3704"/>
    <w:rsid w:val="00AD4104"/>
    <w:rsid w:val="00AD5160"/>
    <w:rsid w:val="00AD580C"/>
    <w:rsid w:val="00AD633F"/>
    <w:rsid w:val="00AD7C6A"/>
    <w:rsid w:val="00AE0DB6"/>
    <w:rsid w:val="00AE0FA4"/>
    <w:rsid w:val="00AE1899"/>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48A"/>
    <w:rsid w:val="00B42631"/>
    <w:rsid w:val="00B4418E"/>
    <w:rsid w:val="00B514BA"/>
    <w:rsid w:val="00B51504"/>
    <w:rsid w:val="00B54411"/>
    <w:rsid w:val="00B55023"/>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4E8C"/>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F56"/>
    <w:rsid w:val="00BF4C90"/>
    <w:rsid w:val="00C00027"/>
    <w:rsid w:val="00C002D2"/>
    <w:rsid w:val="00C0467C"/>
    <w:rsid w:val="00C05F95"/>
    <w:rsid w:val="00C060B4"/>
    <w:rsid w:val="00C0662C"/>
    <w:rsid w:val="00C10DD5"/>
    <w:rsid w:val="00C11900"/>
    <w:rsid w:val="00C11FE0"/>
    <w:rsid w:val="00C14FC5"/>
    <w:rsid w:val="00C178DC"/>
    <w:rsid w:val="00C17D84"/>
    <w:rsid w:val="00C17F1E"/>
    <w:rsid w:val="00C20FD5"/>
    <w:rsid w:val="00C21AF0"/>
    <w:rsid w:val="00C23753"/>
    <w:rsid w:val="00C24C48"/>
    <w:rsid w:val="00C26390"/>
    <w:rsid w:val="00C268A2"/>
    <w:rsid w:val="00C26EF8"/>
    <w:rsid w:val="00C30BB8"/>
    <w:rsid w:val="00C3206A"/>
    <w:rsid w:val="00C33253"/>
    <w:rsid w:val="00C33680"/>
    <w:rsid w:val="00C34221"/>
    <w:rsid w:val="00C35EF5"/>
    <w:rsid w:val="00C36E9A"/>
    <w:rsid w:val="00C37F50"/>
    <w:rsid w:val="00C4164F"/>
    <w:rsid w:val="00C4196E"/>
    <w:rsid w:val="00C41E5B"/>
    <w:rsid w:val="00C428D7"/>
    <w:rsid w:val="00C44DD1"/>
    <w:rsid w:val="00C450E0"/>
    <w:rsid w:val="00C46E1E"/>
    <w:rsid w:val="00C50514"/>
    <w:rsid w:val="00C507F0"/>
    <w:rsid w:val="00C50CEA"/>
    <w:rsid w:val="00C50E86"/>
    <w:rsid w:val="00C5200E"/>
    <w:rsid w:val="00C53FB7"/>
    <w:rsid w:val="00C57FBB"/>
    <w:rsid w:val="00C64C33"/>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F79"/>
    <w:rsid w:val="00C90136"/>
    <w:rsid w:val="00C90D7F"/>
    <w:rsid w:val="00C910AD"/>
    <w:rsid w:val="00C91461"/>
    <w:rsid w:val="00C9203F"/>
    <w:rsid w:val="00C92634"/>
    <w:rsid w:val="00C96770"/>
    <w:rsid w:val="00C9689D"/>
    <w:rsid w:val="00C96FC9"/>
    <w:rsid w:val="00CA1D6B"/>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53F1"/>
    <w:rsid w:val="00CE5E8A"/>
    <w:rsid w:val="00CF0F55"/>
    <w:rsid w:val="00CF108B"/>
    <w:rsid w:val="00CF367F"/>
    <w:rsid w:val="00CF489B"/>
    <w:rsid w:val="00CF5272"/>
    <w:rsid w:val="00CF6D47"/>
    <w:rsid w:val="00CF7A46"/>
    <w:rsid w:val="00D003C6"/>
    <w:rsid w:val="00D00D38"/>
    <w:rsid w:val="00D02799"/>
    <w:rsid w:val="00D02C4B"/>
    <w:rsid w:val="00D05121"/>
    <w:rsid w:val="00D06522"/>
    <w:rsid w:val="00D06D9A"/>
    <w:rsid w:val="00D111E6"/>
    <w:rsid w:val="00D11551"/>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0318"/>
    <w:rsid w:val="00D51050"/>
    <w:rsid w:val="00D5118D"/>
    <w:rsid w:val="00D52303"/>
    <w:rsid w:val="00D54E37"/>
    <w:rsid w:val="00D55E1B"/>
    <w:rsid w:val="00D56B6B"/>
    <w:rsid w:val="00D57342"/>
    <w:rsid w:val="00D57F55"/>
    <w:rsid w:val="00D6181A"/>
    <w:rsid w:val="00D62CB2"/>
    <w:rsid w:val="00D65799"/>
    <w:rsid w:val="00D662A2"/>
    <w:rsid w:val="00D663C0"/>
    <w:rsid w:val="00D716D2"/>
    <w:rsid w:val="00D71D08"/>
    <w:rsid w:val="00D73371"/>
    <w:rsid w:val="00D74C36"/>
    <w:rsid w:val="00D75629"/>
    <w:rsid w:val="00D76238"/>
    <w:rsid w:val="00D76434"/>
    <w:rsid w:val="00D76582"/>
    <w:rsid w:val="00D766BB"/>
    <w:rsid w:val="00D76767"/>
    <w:rsid w:val="00D77A16"/>
    <w:rsid w:val="00D80792"/>
    <w:rsid w:val="00D82328"/>
    <w:rsid w:val="00D82FBA"/>
    <w:rsid w:val="00D83779"/>
    <w:rsid w:val="00D90164"/>
    <w:rsid w:val="00D912AC"/>
    <w:rsid w:val="00D924D2"/>
    <w:rsid w:val="00D930A0"/>
    <w:rsid w:val="00D948CF"/>
    <w:rsid w:val="00D94E88"/>
    <w:rsid w:val="00D97016"/>
    <w:rsid w:val="00DA0828"/>
    <w:rsid w:val="00DA15C5"/>
    <w:rsid w:val="00DA1B19"/>
    <w:rsid w:val="00DA2DE4"/>
    <w:rsid w:val="00DA5205"/>
    <w:rsid w:val="00DA5BDD"/>
    <w:rsid w:val="00DA7884"/>
    <w:rsid w:val="00DB25FD"/>
    <w:rsid w:val="00DB3B6F"/>
    <w:rsid w:val="00DB4275"/>
    <w:rsid w:val="00DB563B"/>
    <w:rsid w:val="00DB6886"/>
    <w:rsid w:val="00DC41FB"/>
    <w:rsid w:val="00DC4FF0"/>
    <w:rsid w:val="00DC7021"/>
    <w:rsid w:val="00DD0DA5"/>
    <w:rsid w:val="00DD23C0"/>
    <w:rsid w:val="00DD2D3B"/>
    <w:rsid w:val="00DD3A9F"/>
    <w:rsid w:val="00DD4D95"/>
    <w:rsid w:val="00DD509B"/>
    <w:rsid w:val="00DD663A"/>
    <w:rsid w:val="00DD7CAF"/>
    <w:rsid w:val="00DE0442"/>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702E"/>
    <w:rsid w:val="00E0703F"/>
    <w:rsid w:val="00E07B6F"/>
    <w:rsid w:val="00E10460"/>
    <w:rsid w:val="00E10DBB"/>
    <w:rsid w:val="00E11B32"/>
    <w:rsid w:val="00E13021"/>
    <w:rsid w:val="00E13A57"/>
    <w:rsid w:val="00E15E1C"/>
    <w:rsid w:val="00E1674E"/>
    <w:rsid w:val="00E175DC"/>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6DFB"/>
    <w:rsid w:val="00E46E2E"/>
    <w:rsid w:val="00E472A4"/>
    <w:rsid w:val="00E47672"/>
    <w:rsid w:val="00E47892"/>
    <w:rsid w:val="00E51186"/>
    <w:rsid w:val="00E53F21"/>
    <w:rsid w:val="00E56E52"/>
    <w:rsid w:val="00E57950"/>
    <w:rsid w:val="00E600C0"/>
    <w:rsid w:val="00E60152"/>
    <w:rsid w:val="00E61557"/>
    <w:rsid w:val="00E61CF0"/>
    <w:rsid w:val="00E61DB4"/>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4E8F9D-5C1D-4089-8671-09EC04A5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rse.edu/office/registrar/course-offerings-academic-catalog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446E0-DE31-479A-BFB3-F6E31DA5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4</Pages>
  <Words>1175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subject/>
  <dc:creator>Barton</dc:creator>
  <cp:keywords/>
  <dc:description/>
  <cp:lastModifiedBy>Engel, Rayna</cp:lastModifiedBy>
  <cp:revision>4</cp:revision>
  <cp:lastPrinted>2016-04-25T16:51:00Z</cp:lastPrinted>
  <dcterms:created xsi:type="dcterms:W3CDTF">2016-01-28T22:22:00Z</dcterms:created>
  <dcterms:modified xsi:type="dcterms:W3CDTF">2016-04-25T18:54:00Z</dcterms:modified>
</cp:coreProperties>
</file>