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4526B669" w:rsidR="00602268" w:rsidRPr="003C0AFF" w:rsidRDefault="00B0762F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9/11</w:t>
            </w:r>
            <w:r w:rsidR="004664D0">
              <w:rPr>
                <w:rFonts w:asciiTheme="minorHAnsi" w:hAnsiTheme="minorHAnsi" w:cstheme="minorHAnsi"/>
              </w:rPr>
              <w:t>/2024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10CD8C8E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10CD8C8E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10CD8C8E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10CD8C8E">
        <w:trPr>
          <w:trHeight w:val="444"/>
        </w:trPr>
        <w:tc>
          <w:tcPr>
            <w:tcW w:w="152" w:type="pct"/>
          </w:tcPr>
          <w:p w14:paraId="65F92CF1" w14:textId="3E11271E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579AC2F0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038AFECB" w:rsidR="005E1E04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160DF7FF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1117B3A" w14:textId="77777777" w:rsidR="0008253B" w:rsidRDefault="0008253B" w:rsidP="00082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1326CA85" w14:textId="18A1415A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2AF6E592" w:rsidR="005E1E04" w:rsidRPr="00CB77BE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155F71C7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0E529F27" w:rsidR="005E1E04" w:rsidRPr="003C0AFF" w:rsidRDefault="00B076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69C936D3" w14:textId="77777777" w:rsidTr="10CD8C8E">
        <w:trPr>
          <w:trHeight w:val="444"/>
        </w:trPr>
        <w:tc>
          <w:tcPr>
            <w:tcW w:w="152" w:type="pct"/>
          </w:tcPr>
          <w:p w14:paraId="47EA4225" w14:textId="331683F7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717912F3" w:rsidR="005E1E04" w:rsidRPr="00293154" w:rsidRDefault="00B076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53B6DB77" w14:textId="673566E6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30EFB29A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486981BD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5CD1D7B9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0CAC1EE9" w:rsidR="005E1E04" w:rsidRPr="003C0AFF" w:rsidRDefault="00B076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575549B6" w14:textId="77777777" w:rsidTr="10CD8C8E">
        <w:trPr>
          <w:trHeight w:val="444"/>
        </w:trPr>
        <w:tc>
          <w:tcPr>
            <w:tcW w:w="152" w:type="pct"/>
          </w:tcPr>
          <w:p w14:paraId="67491AC3" w14:textId="01D15AF3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248D7AF7" w:rsidR="005E1E04" w:rsidRPr="003C0AFF" w:rsidRDefault="00B076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F81CF93" w14:textId="06B9841D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8A0443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76A383ED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6ECFE05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29EA03C3" w14:textId="12A314BE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119F171A" w14:textId="6B8FE6F7" w:rsidR="005E1E04" w:rsidRPr="003C0AFF" w:rsidRDefault="00B076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17" w:type="pct"/>
          </w:tcPr>
          <w:p w14:paraId="1F45E9F5" w14:textId="099C8DFA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10CD8C8E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7D28165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0E6348F" w14:textId="60605B00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A7B0E1F" w14:textId="7A090DF6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79843756" w:rsidR="005E1E04" w:rsidRDefault="00B0762F" w:rsidP="00B076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Bernatis</w:t>
            </w:r>
          </w:p>
        </w:tc>
        <w:tc>
          <w:tcPr>
            <w:tcW w:w="156" w:type="pct"/>
          </w:tcPr>
          <w:p w14:paraId="18A84F47" w14:textId="137BA6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11769C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10CD8C8E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10CD8C8E">
        <w:trPr>
          <w:trHeight w:val="444"/>
        </w:trPr>
        <w:tc>
          <w:tcPr>
            <w:tcW w:w="152" w:type="pct"/>
          </w:tcPr>
          <w:p w14:paraId="08672B6F" w14:textId="464B046D" w:rsidR="005E1E04" w:rsidRPr="003C0AFF" w:rsidRDefault="767A27FE" w:rsidP="10CD8C8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0CD8C8E"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3D42139B" w:rsidR="005E1E04" w:rsidRPr="003C0AFF" w:rsidRDefault="00930C9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Nick Larmer</w:t>
            </w:r>
          </w:p>
        </w:tc>
        <w:tc>
          <w:tcPr>
            <w:tcW w:w="156" w:type="pct"/>
          </w:tcPr>
          <w:p w14:paraId="28A9E8B7" w14:textId="55D5C6E6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193D0AD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10CD8C8E">
        <w:trPr>
          <w:trHeight w:val="444"/>
        </w:trPr>
        <w:tc>
          <w:tcPr>
            <w:tcW w:w="152" w:type="pct"/>
          </w:tcPr>
          <w:p w14:paraId="11AEC40D" w14:textId="16688BD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78A3DD31" w14:textId="11E8433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169A307" w14:textId="63676DB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62D012A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10CD8C8E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10CD8C8E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D78571D" w14:textId="68520639" w:rsidR="00F27129" w:rsidRPr="00155EE7" w:rsidRDefault="00155EE7" w:rsidP="00155E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353CA17A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11C45D51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14:paraId="50B4434E" w14:textId="2DC5A129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1B6" w:rsidRPr="003C0AFF" w14:paraId="42AFB185" w14:textId="77777777" w:rsidTr="10CD8C8E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701B6" w:rsidRPr="005A50A7" w14:paraId="62C37BBE" w14:textId="77777777" w:rsidTr="10CD8C8E">
        <w:trPr>
          <w:trHeight w:val="444"/>
        </w:trPr>
        <w:tc>
          <w:tcPr>
            <w:tcW w:w="2902" w:type="pct"/>
            <w:gridSpan w:val="7"/>
          </w:tcPr>
          <w:p w14:paraId="693A1813" w14:textId="69EB2A3A" w:rsidR="00F701B6" w:rsidRPr="00D24CAB" w:rsidRDefault="00B0762F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2F6C046B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46F06E55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5BC8F1C8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1B6" w:rsidRPr="003C0AFF" w14:paraId="32F65BF6" w14:textId="77777777" w:rsidTr="10CD8C8E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</w:tcPr>
          <w:p w14:paraId="006F1C64" w14:textId="44CA8ED6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</w:tcPr>
          <w:p w14:paraId="41A0DF2D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</w:tcPr>
          <w:p w14:paraId="539E99B0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</w:tcPr>
          <w:p w14:paraId="067AE02A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1B6" w:rsidRPr="00706953" w14:paraId="1E27C65E" w14:textId="77777777" w:rsidTr="00BA059F">
        <w:trPr>
          <w:trHeight w:val="4688"/>
        </w:trPr>
        <w:tc>
          <w:tcPr>
            <w:tcW w:w="2902" w:type="pct"/>
            <w:gridSpan w:val="7"/>
          </w:tcPr>
          <w:p w14:paraId="6F449CA5" w14:textId="5E237967" w:rsidR="00B0762F" w:rsidRDefault="00B0762F" w:rsidP="10CD8C8E">
            <w:pPr>
              <w:rPr>
                <w:rFonts w:asciiTheme="minorHAnsi" w:hAnsiTheme="minorHAnsi" w:cstheme="minorBidi"/>
              </w:rPr>
            </w:pPr>
            <w:r w:rsidRPr="10CD8C8E">
              <w:rPr>
                <w:rFonts w:asciiTheme="minorHAnsi" w:hAnsiTheme="minorHAnsi" w:cstheme="minorBidi"/>
              </w:rPr>
              <w:t>Math Pathways Integration into Degree Maps</w:t>
            </w:r>
          </w:p>
          <w:p w14:paraId="5B0CBF92" w14:textId="3402876D" w:rsidR="00B0762F" w:rsidRPr="00B0762F" w:rsidRDefault="7C91D511" w:rsidP="10CD8C8E">
            <w:pPr>
              <w:pStyle w:val="ListParagraph"/>
              <w:numPr>
                <w:ilvl w:val="0"/>
                <w:numId w:val="24"/>
              </w:numPr>
              <w:rPr>
                <w:rFonts w:eastAsia="Calibri"/>
              </w:rPr>
            </w:pPr>
            <w:r w:rsidRPr="10CD8C8E">
              <w:rPr>
                <w:rFonts w:eastAsia="Calibri"/>
              </w:rPr>
              <w:t xml:space="preserve">Document </w:t>
            </w:r>
            <w:r w:rsidR="74066882" w:rsidRPr="10CD8C8E">
              <w:rPr>
                <w:rFonts w:eastAsia="Calibri"/>
              </w:rPr>
              <w:t>that color-codes/identifies the math pathway course for our designated programs of study</w:t>
            </w:r>
          </w:p>
          <w:p w14:paraId="500B267E" w14:textId="2FF65642" w:rsidR="00B0762F" w:rsidRPr="00B0762F" w:rsidRDefault="57DC5B9E" w:rsidP="10CD8C8E">
            <w:pPr>
              <w:pStyle w:val="ListParagraph"/>
              <w:numPr>
                <w:ilvl w:val="0"/>
                <w:numId w:val="24"/>
              </w:numPr>
              <w:rPr>
                <w:rFonts w:eastAsia="Calibri"/>
              </w:rPr>
            </w:pPr>
            <w:r w:rsidRPr="10CD8C8E">
              <w:rPr>
                <w:rFonts w:eastAsia="Calibri"/>
              </w:rPr>
              <w:t>P</w:t>
            </w:r>
            <w:r w:rsidR="74066882" w:rsidRPr="10CD8C8E">
              <w:rPr>
                <w:rFonts w:eastAsia="Calibri"/>
              </w:rPr>
              <w:t xml:space="preserve">ink = College Algebra, green = Contemporary Math, and yellow = </w:t>
            </w:r>
            <w:r w:rsidR="3AD5B5C8" w:rsidRPr="10CD8C8E">
              <w:rPr>
                <w:rFonts w:eastAsia="Calibri"/>
              </w:rPr>
              <w:t>Contemporary Math</w:t>
            </w:r>
          </w:p>
          <w:p w14:paraId="7CF4E804" w14:textId="32556137" w:rsidR="00B0762F" w:rsidRPr="00B0762F" w:rsidRDefault="3AD5B5C8" w:rsidP="10CD8C8E">
            <w:pPr>
              <w:pStyle w:val="ListParagraph"/>
              <w:numPr>
                <w:ilvl w:val="0"/>
                <w:numId w:val="24"/>
              </w:numPr>
              <w:rPr>
                <w:rFonts w:eastAsia="Calibri"/>
              </w:rPr>
            </w:pPr>
            <w:r w:rsidRPr="10CD8C8E">
              <w:rPr>
                <w:rFonts w:eastAsia="Calibri"/>
              </w:rPr>
              <w:t xml:space="preserve">AA/AS </w:t>
            </w:r>
            <w:r w:rsidR="74066882" w:rsidRPr="10CD8C8E">
              <w:rPr>
                <w:rFonts w:eastAsia="Calibri"/>
              </w:rPr>
              <w:t>programs on our Degree Maps webpag</w:t>
            </w:r>
            <w:r w:rsidR="2BA43869" w:rsidRPr="10CD8C8E">
              <w:rPr>
                <w:rFonts w:eastAsia="Calibri"/>
              </w:rPr>
              <w:t>e</w:t>
            </w:r>
          </w:p>
          <w:p w14:paraId="55D6E49E" w14:textId="0F983F30" w:rsidR="00B0762F" w:rsidRPr="00B0762F" w:rsidRDefault="2BA43869" w:rsidP="10CD8C8E">
            <w:pPr>
              <w:pStyle w:val="ListParagraph"/>
              <w:numPr>
                <w:ilvl w:val="0"/>
                <w:numId w:val="24"/>
              </w:numPr>
              <w:rPr>
                <w:rFonts w:eastAsia="Calibri"/>
              </w:rPr>
            </w:pPr>
            <w:r w:rsidRPr="10CD8C8E">
              <w:rPr>
                <w:rFonts w:eastAsia="Calibri"/>
              </w:rPr>
              <w:t xml:space="preserve">Did not look at </w:t>
            </w:r>
            <w:r w:rsidR="74066882" w:rsidRPr="10CD8C8E">
              <w:rPr>
                <w:rFonts w:eastAsia="Calibri"/>
              </w:rPr>
              <w:t>any AAS or Certificate programs</w:t>
            </w:r>
          </w:p>
          <w:p w14:paraId="73553FB0" w14:textId="5ACB08F7" w:rsidR="00B0762F" w:rsidRPr="00B0762F" w:rsidRDefault="74066882" w:rsidP="10CD8C8E">
            <w:pPr>
              <w:pStyle w:val="ListParagraph"/>
              <w:numPr>
                <w:ilvl w:val="0"/>
                <w:numId w:val="24"/>
              </w:numPr>
              <w:rPr>
                <w:rFonts w:eastAsia="Calibri"/>
              </w:rPr>
            </w:pPr>
            <w:r w:rsidRPr="10CD8C8E">
              <w:rPr>
                <w:rFonts w:eastAsia="Calibri"/>
              </w:rPr>
              <w:t xml:space="preserve">The next step will be to update degree maps for the highlighted program to match the designated math course and to </w:t>
            </w:r>
            <w:r w:rsidR="57248D14" w:rsidRPr="10CD8C8E">
              <w:rPr>
                <w:rFonts w:eastAsia="Calibri"/>
              </w:rPr>
              <w:t>decide</w:t>
            </w:r>
            <w:r w:rsidRPr="10CD8C8E">
              <w:rPr>
                <w:rFonts w:eastAsia="Calibri"/>
              </w:rPr>
              <w:t xml:space="preserve"> for those not yet identified by the KBOR list</w:t>
            </w:r>
          </w:p>
          <w:p w14:paraId="296880F2" w14:textId="719BD7AA" w:rsidR="00B0762F" w:rsidRPr="00B0762F" w:rsidRDefault="0D7FC463" w:rsidP="10CD8C8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Bidi"/>
              </w:rPr>
            </w:pPr>
            <w:r w:rsidRPr="10CD8C8E">
              <w:rPr>
                <w:rFonts w:asciiTheme="minorHAnsi" w:hAnsiTheme="minorHAnsi" w:cstheme="minorBidi"/>
              </w:rPr>
              <w:t>At the next meeting we need a vote for Math Pathways</w:t>
            </w:r>
          </w:p>
          <w:p w14:paraId="76D731AC" w14:textId="475074F9" w:rsidR="00B0762F" w:rsidRPr="00B0762F" w:rsidRDefault="063F4339" w:rsidP="10CD8C8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Bidi"/>
              </w:rPr>
            </w:pPr>
            <w:r w:rsidRPr="10CD8C8E">
              <w:rPr>
                <w:rFonts w:asciiTheme="minorHAnsi" w:hAnsiTheme="minorHAnsi" w:cstheme="minorBidi"/>
              </w:rPr>
              <w:t>Need to determine what we will do with Intermediate Algebra; as of 7/1/25 we will not receive state aid for this course; could we still offer the course online to students outside of Kansas</w:t>
            </w:r>
          </w:p>
          <w:p w14:paraId="09E07B4F" w14:textId="1B8F4899" w:rsidR="00B0762F" w:rsidRPr="00B0762F" w:rsidRDefault="43823987" w:rsidP="10CD8C8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Bidi"/>
              </w:rPr>
            </w:pPr>
            <w:bookmarkStart w:id="0" w:name="_GoBack"/>
            <w:bookmarkEnd w:id="0"/>
            <w:r w:rsidRPr="4752CAFD">
              <w:rPr>
                <w:rFonts w:asciiTheme="minorHAnsi" w:hAnsiTheme="minorHAnsi" w:cstheme="minorBidi"/>
              </w:rPr>
              <w:t xml:space="preserve">Pull a report from Concourse with all courses and what the prerequisites are </w:t>
            </w:r>
            <w:r w:rsidR="50E223FE" w:rsidRPr="4752CAFD">
              <w:rPr>
                <w:rFonts w:asciiTheme="minorHAnsi" w:hAnsiTheme="minorHAnsi" w:cstheme="minorBidi"/>
              </w:rPr>
              <w:t xml:space="preserve">to determine if we need to make any updates to the syllabi (developmental math and writing) </w:t>
            </w:r>
          </w:p>
        </w:tc>
        <w:tc>
          <w:tcPr>
            <w:tcW w:w="738" w:type="pct"/>
            <w:gridSpan w:val="3"/>
          </w:tcPr>
          <w:p w14:paraId="03E740E6" w14:textId="5135CCDF" w:rsidR="00F701B6" w:rsidRPr="00706953" w:rsidRDefault="00B0762F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578" w:type="pct"/>
            <w:gridSpan w:val="2"/>
          </w:tcPr>
          <w:p w14:paraId="59B157B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lastRenderedPageBreak/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901"/>
    <w:multiLevelType w:val="hybridMultilevel"/>
    <w:tmpl w:val="27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35D6E"/>
    <w:multiLevelType w:val="hybridMultilevel"/>
    <w:tmpl w:val="1522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07E9"/>
    <w:multiLevelType w:val="hybridMultilevel"/>
    <w:tmpl w:val="6C1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C33AD"/>
    <w:multiLevelType w:val="hybridMultilevel"/>
    <w:tmpl w:val="4BA2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9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  <w:num w:numId="17">
    <w:abstractNumId w:val="16"/>
  </w:num>
  <w:num w:numId="18">
    <w:abstractNumId w:val="18"/>
  </w:num>
  <w:num w:numId="19">
    <w:abstractNumId w:val="13"/>
  </w:num>
  <w:num w:numId="20">
    <w:abstractNumId w:val="21"/>
  </w:num>
  <w:num w:numId="21">
    <w:abstractNumId w:val="20"/>
  </w:num>
  <w:num w:numId="22">
    <w:abstractNumId w:val="2"/>
  </w:num>
  <w:num w:numId="23">
    <w:abstractNumId w:val="17"/>
  </w:num>
  <w:num w:numId="2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1C6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53B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5EE7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8AF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26A10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62D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1587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65F5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D77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5B94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0413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0C94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62F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059F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571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6AB2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38D8"/>
    <w:rsid w:val="00DB4B26"/>
    <w:rsid w:val="00DB5812"/>
    <w:rsid w:val="00DB5B84"/>
    <w:rsid w:val="00DB68F6"/>
    <w:rsid w:val="00DC00F6"/>
    <w:rsid w:val="00DC0D64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4CB2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129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  <w:rsid w:val="063F4339"/>
    <w:rsid w:val="0D7FC463"/>
    <w:rsid w:val="10CD8C8E"/>
    <w:rsid w:val="138FB7C0"/>
    <w:rsid w:val="151AA102"/>
    <w:rsid w:val="17BE168C"/>
    <w:rsid w:val="1B8B95BC"/>
    <w:rsid w:val="213916B1"/>
    <w:rsid w:val="233C8575"/>
    <w:rsid w:val="2BA43869"/>
    <w:rsid w:val="2E93F2FE"/>
    <w:rsid w:val="30DC1F95"/>
    <w:rsid w:val="33E8C50B"/>
    <w:rsid w:val="3AD5B5C8"/>
    <w:rsid w:val="43823987"/>
    <w:rsid w:val="4752CAFD"/>
    <w:rsid w:val="48C080F4"/>
    <w:rsid w:val="4EAC5619"/>
    <w:rsid w:val="50E223FE"/>
    <w:rsid w:val="523113E8"/>
    <w:rsid w:val="57248D14"/>
    <w:rsid w:val="57DC5B9E"/>
    <w:rsid w:val="5C11C886"/>
    <w:rsid w:val="6315C356"/>
    <w:rsid w:val="74066882"/>
    <w:rsid w:val="767A27FE"/>
    <w:rsid w:val="7BBF85B2"/>
    <w:rsid w:val="7C91D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bartonccc-edu.zoom.us/my/riegelsb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B07E-2D23-431C-9AEB-25AC53BDBDEA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06af7dde-b6ce-4153-b8f5-638cdba00b9c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772AD1-8D11-4ADF-B18B-EFBC57F23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F8DCD-3492-42FD-A0ED-5D73F8D8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8500E-B29B-4C6B-AEE1-2E63189A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2024-11-12T16:51:00Z</dcterms:created>
  <dcterms:modified xsi:type="dcterms:W3CDTF">2024-11-12T16:51:00Z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