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2B5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BTAC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367720" w:rsidP="008C1A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8C1AF5">
              <w:rPr>
                <w:rFonts w:asciiTheme="minorHAnsi" w:hAnsiTheme="minorHAnsi" w:cstheme="minorHAnsi"/>
              </w:rPr>
              <w:t>5</w:t>
            </w:r>
            <w:r w:rsidR="005C7E09">
              <w:rPr>
                <w:rFonts w:asciiTheme="minorHAnsi" w:hAnsiTheme="minorHAnsi" w:cstheme="minorHAnsi"/>
              </w:rPr>
              <w:t>/</w:t>
            </w:r>
            <w:r w:rsidR="007661BF">
              <w:rPr>
                <w:rFonts w:asciiTheme="minorHAnsi" w:hAnsiTheme="minorHAnsi" w:cstheme="minorHAnsi"/>
              </w:rPr>
              <w:t>0</w:t>
            </w:r>
            <w:r w:rsidR="008C1AF5">
              <w:rPr>
                <w:rFonts w:asciiTheme="minorHAnsi" w:hAnsiTheme="minorHAnsi" w:cstheme="minorHAnsi"/>
              </w:rPr>
              <w:t>6</w:t>
            </w:r>
            <w:r w:rsidR="0066192D">
              <w:rPr>
                <w:rFonts w:asciiTheme="minorHAnsi" w:hAnsiTheme="minorHAnsi" w:cstheme="minorHAnsi"/>
              </w:rPr>
              <w:t>/1</w:t>
            </w:r>
            <w:r w:rsidR="005C7E09">
              <w:rPr>
                <w:rFonts w:asciiTheme="minorHAnsi" w:hAnsiTheme="minorHAnsi" w:cstheme="minorHAnsi"/>
              </w:rPr>
              <w:t>9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66192D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 p.m. – 4:30 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844F52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A113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AF38C3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AF38C3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Brooke Cook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B65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D16143" w:rsidRDefault="002B57B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Brack</w:t>
            </w:r>
          </w:p>
        </w:tc>
        <w:tc>
          <w:tcPr>
            <w:tcW w:w="390" w:type="dxa"/>
          </w:tcPr>
          <w:p w:rsidR="00084428" w:rsidRPr="00D16143" w:rsidRDefault="00B65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16143" w:rsidRDefault="002B57B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:rsidR="00084428" w:rsidRPr="00D16143" w:rsidRDefault="00B65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084428" w:rsidRPr="00D16143" w:rsidRDefault="002B57BC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Diane Engle</w:t>
            </w:r>
          </w:p>
        </w:tc>
        <w:tc>
          <w:tcPr>
            <w:tcW w:w="342" w:type="dxa"/>
            <w:gridSpan w:val="2"/>
          </w:tcPr>
          <w:p w:rsidR="00084428" w:rsidRPr="00D16143" w:rsidRDefault="00B65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084428" w:rsidRPr="00D16143" w:rsidRDefault="002B5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B65AC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Michael Halbleib</w:t>
            </w:r>
          </w:p>
        </w:tc>
        <w:tc>
          <w:tcPr>
            <w:tcW w:w="390" w:type="dxa"/>
          </w:tcPr>
          <w:p w:rsidR="00084428" w:rsidRPr="00D16143" w:rsidRDefault="00B65AC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Michelle Kaiser</w:t>
            </w:r>
          </w:p>
        </w:tc>
        <w:tc>
          <w:tcPr>
            <w:tcW w:w="390" w:type="dxa"/>
          </w:tcPr>
          <w:p w:rsidR="00084428" w:rsidRPr="00D16143" w:rsidRDefault="00B65AC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Klinger</w:t>
            </w:r>
          </w:p>
        </w:tc>
        <w:tc>
          <w:tcPr>
            <w:tcW w:w="342" w:type="dxa"/>
            <w:gridSpan w:val="2"/>
          </w:tcPr>
          <w:p w:rsidR="00084428" w:rsidRPr="00D16143" w:rsidRDefault="00B65AC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084428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2B57BC" w:rsidRPr="00D16143" w:rsidTr="002B57BC">
        <w:trPr>
          <w:trHeight w:val="26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6B3C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B65AC7">
              <w:t>X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B65AC7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Moore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B65AC7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Amy Oelke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B65AC7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BC" w:rsidRPr="00D16143" w:rsidRDefault="002B57BC" w:rsidP="00857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D16143" w:rsidRPr="00D16143" w:rsidTr="002B57BC">
        <w:trPr>
          <w:trHeight w:val="260"/>
        </w:trPr>
        <w:tc>
          <w:tcPr>
            <w:tcW w:w="379" w:type="dxa"/>
          </w:tcPr>
          <w:p w:rsidR="00D16143" w:rsidRPr="00D16143" w:rsidRDefault="00B65AC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16143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Renard</w:t>
            </w:r>
          </w:p>
        </w:tc>
        <w:tc>
          <w:tcPr>
            <w:tcW w:w="390" w:type="dxa"/>
          </w:tcPr>
          <w:p w:rsidR="00D16143" w:rsidRPr="00D16143" w:rsidRDefault="00B65AC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D16143" w:rsidRPr="00D16143" w:rsidRDefault="002B57B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Kurtis Teal</w:t>
            </w:r>
          </w:p>
        </w:tc>
        <w:tc>
          <w:tcPr>
            <w:tcW w:w="390" w:type="dxa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D16143" w:rsidRPr="00D16143" w:rsidRDefault="00D1614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2B57BC" w:rsidRPr="00D16143" w:rsidRDefault="002B57BC" w:rsidP="002B5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48260F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New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48260F" w:rsidRDefault="0048260F" w:rsidP="005C7E0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48260F">
              <w:rPr>
                <w:rFonts w:asciiTheme="minorHAnsi" w:hAnsiTheme="minorHAnsi" w:cstheme="minorHAnsi"/>
              </w:rPr>
              <w:t>Call to order and Agenda bash</w:t>
            </w:r>
          </w:p>
          <w:p w:rsidR="00730B7E" w:rsidRDefault="0048260F" w:rsidP="007379B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 of last meeting minutes</w:t>
            </w:r>
            <w:r w:rsidR="00B65AC7">
              <w:rPr>
                <w:rFonts w:asciiTheme="minorHAnsi" w:hAnsiTheme="minorHAnsi" w:cstheme="minorHAnsi"/>
              </w:rPr>
              <w:t xml:space="preserve"> – Won’t meet again until September.</w:t>
            </w:r>
          </w:p>
          <w:p w:rsidR="00AE0B4D" w:rsidRDefault="008C1AF5" w:rsidP="006B3C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LastPass Password solution for 70 people</w:t>
            </w:r>
            <w:r w:rsidR="00B65AC7">
              <w:rPr>
                <w:rFonts w:asciiTheme="minorHAnsi" w:hAnsiTheme="minorHAnsi" w:cstheme="minorHAnsi"/>
              </w:rPr>
              <w:t xml:space="preserve"> – </w:t>
            </w:r>
          </w:p>
          <w:p w:rsidR="004E54BC" w:rsidRDefault="004E54BC" w:rsidP="004E54B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flexible than </w:t>
            </w:r>
            <w:r w:rsidR="00A67D50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ash </w:t>
            </w:r>
            <w:r w:rsidR="00A67D50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ane &amp; less Expensive</w:t>
            </w:r>
          </w:p>
          <w:p w:rsidR="004E54BC" w:rsidRDefault="004E54BC" w:rsidP="004E54B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has been purchased and IT will contact the 70 people that are to use it.</w:t>
            </w:r>
          </w:p>
          <w:p w:rsidR="004E54BC" w:rsidRDefault="00B65AC7" w:rsidP="004E54B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E54BC">
              <w:rPr>
                <w:rFonts w:asciiTheme="minorHAnsi" w:hAnsiTheme="minorHAnsi" w:cstheme="minorHAnsi"/>
              </w:rPr>
              <w:t xml:space="preserve">This product also allows us to stay secure and remove people’s access to those passwords in case they terminate.  </w:t>
            </w:r>
            <w:r w:rsidR="007114DA" w:rsidRPr="004E54BC">
              <w:rPr>
                <w:rFonts w:asciiTheme="minorHAnsi" w:hAnsiTheme="minorHAnsi" w:cstheme="minorHAnsi"/>
              </w:rPr>
              <w:t xml:space="preserve">Those employees will then </w:t>
            </w:r>
            <w:r w:rsidRPr="004E54BC">
              <w:rPr>
                <w:rFonts w:asciiTheme="minorHAnsi" w:hAnsiTheme="minorHAnsi" w:cstheme="minorHAnsi"/>
              </w:rPr>
              <w:t xml:space="preserve">still have access to their personal passwords for 30 days </w:t>
            </w:r>
            <w:r w:rsidR="007114DA" w:rsidRPr="004E54BC">
              <w:rPr>
                <w:rFonts w:asciiTheme="minorHAnsi" w:hAnsiTheme="minorHAnsi" w:cstheme="minorHAnsi"/>
              </w:rPr>
              <w:t xml:space="preserve">after they terminate.   At that time they will be instructed that </w:t>
            </w:r>
            <w:r w:rsidRPr="004E54BC">
              <w:rPr>
                <w:rFonts w:asciiTheme="minorHAnsi" w:hAnsiTheme="minorHAnsi" w:cstheme="minorHAnsi"/>
              </w:rPr>
              <w:t xml:space="preserve">if they wish </w:t>
            </w:r>
            <w:r w:rsidR="007114DA" w:rsidRPr="004E54BC">
              <w:rPr>
                <w:rFonts w:asciiTheme="minorHAnsi" w:hAnsiTheme="minorHAnsi" w:cstheme="minorHAnsi"/>
              </w:rPr>
              <w:t xml:space="preserve">to continue this service </w:t>
            </w:r>
            <w:r w:rsidRPr="004E54BC">
              <w:rPr>
                <w:rFonts w:asciiTheme="minorHAnsi" w:hAnsiTheme="minorHAnsi" w:cstheme="minorHAnsi"/>
              </w:rPr>
              <w:t xml:space="preserve">they </w:t>
            </w:r>
            <w:r w:rsidR="007114DA" w:rsidRPr="004E54BC">
              <w:rPr>
                <w:rFonts w:asciiTheme="minorHAnsi" w:hAnsiTheme="minorHAnsi" w:cstheme="minorHAnsi"/>
              </w:rPr>
              <w:t xml:space="preserve">will need to </w:t>
            </w:r>
            <w:r w:rsidRPr="004E54BC">
              <w:rPr>
                <w:rFonts w:asciiTheme="minorHAnsi" w:hAnsiTheme="minorHAnsi" w:cstheme="minorHAnsi"/>
              </w:rPr>
              <w:t xml:space="preserve">buy their own license.  </w:t>
            </w:r>
          </w:p>
          <w:p w:rsidR="008C1AF5" w:rsidRPr="004E54BC" w:rsidRDefault="001867DB" w:rsidP="004E54B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E54BC">
              <w:rPr>
                <w:rFonts w:asciiTheme="minorHAnsi" w:hAnsiTheme="minorHAnsi" w:cstheme="minorHAnsi"/>
              </w:rPr>
              <w:t>More to come in next few months.</w:t>
            </w:r>
          </w:p>
          <w:p w:rsidR="00B778F9" w:rsidRDefault="00B778F9" w:rsidP="007F5D6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ALC – NexTECH will fund the first classroom</w:t>
            </w:r>
            <w:r w:rsidR="00270B63">
              <w:rPr>
                <w:rFonts w:asciiTheme="minorHAnsi" w:hAnsiTheme="minorHAnsi" w:cstheme="minorHAnsi"/>
              </w:rPr>
              <w:t xml:space="preserve"> – implementation after graduation</w:t>
            </w:r>
            <w:r w:rsidR="001867DB">
              <w:rPr>
                <w:rFonts w:asciiTheme="minorHAnsi" w:hAnsiTheme="minorHAnsi" w:cstheme="minorHAnsi"/>
              </w:rPr>
              <w:t xml:space="preserve"> </w:t>
            </w:r>
          </w:p>
          <w:p w:rsidR="004E54BC" w:rsidRDefault="004E54BC" w:rsidP="004E54B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work with Physical - Plan for Electrical.</w:t>
            </w:r>
          </w:p>
          <w:p w:rsidR="004E54BC" w:rsidRPr="004E54BC" w:rsidRDefault="004E54BC" w:rsidP="004E54B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1</w:t>
            </w:r>
            <w:r w:rsidRPr="004E54BC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we should be up and running</w:t>
            </w:r>
          </w:p>
          <w:p w:rsidR="004E54BC" w:rsidRPr="00FF498A" w:rsidRDefault="004E12C4" w:rsidP="007F5D6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F498A">
              <w:rPr>
                <w:rFonts w:asciiTheme="minorHAnsi" w:hAnsiTheme="minorHAnsi" w:cstheme="minorHAnsi"/>
              </w:rPr>
              <w:t>Smarter ID – Solution student identity team to review</w:t>
            </w:r>
            <w:r w:rsidR="004E6D88" w:rsidRPr="00FF498A">
              <w:rPr>
                <w:rFonts w:asciiTheme="minorHAnsi" w:hAnsiTheme="minorHAnsi" w:cstheme="minorHAnsi"/>
              </w:rPr>
              <w:t xml:space="preserve"> </w:t>
            </w:r>
            <w:r w:rsidR="00B65AC7" w:rsidRPr="00FF498A">
              <w:rPr>
                <w:rFonts w:asciiTheme="minorHAnsi" w:hAnsiTheme="minorHAnsi" w:cstheme="minorHAnsi"/>
              </w:rPr>
              <w:t xml:space="preserve">– </w:t>
            </w:r>
          </w:p>
          <w:p w:rsidR="004E54BC" w:rsidRPr="00FF498A" w:rsidRDefault="00635980" w:rsidP="004E54B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498A">
              <w:rPr>
                <w:rFonts w:asciiTheme="minorHAnsi" w:hAnsiTheme="minorHAnsi" w:cstheme="minorHAnsi"/>
              </w:rPr>
              <w:t xml:space="preserve">Todd </w:t>
            </w:r>
            <w:r w:rsidR="000E22FC" w:rsidRPr="00FF498A">
              <w:rPr>
                <w:rFonts w:asciiTheme="minorHAnsi" w:hAnsiTheme="minorHAnsi" w:cstheme="minorHAnsi"/>
              </w:rPr>
              <w:t xml:space="preserve">went to a webinar – </w:t>
            </w:r>
            <w:r w:rsidRPr="00FF498A">
              <w:rPr>
                <w:rFonts w:asciiTheme="minorHAnsi" w:hAnsiTheme="minorHAnsi" w:cstheme="minorHAnsi"/>
              </w:rPr>
              <w:t xml:space="preserve">it is </w:t>
            </w:r>
            <w:r w:rsidR="000E22FC" w:rsidRPr="00FF498A">
              <w:rPr>
                <w:rFonts w:asciiTheme="minorHAnsi" w:hAnsiTheme="minorHAnsi" w:cstheme="minorHAnsi"/>
              </w:rPr>
              <w:t xml:space="preserve">almost download free face identification in canvas (mostly learning management systems).  </w:t>
            </w:r>
          </w:p>
          <w:p w:rsidR="004E54BC" w:rsidRPr="00FF498A" w:rsidRDefault="000E22FC" w:rsidP="004E54B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498A">
              <w:rPr>
                <w:rFonts w:asciiTheme="minorHAnsi" w:hAnsiTheme="minorHAnsi" w:cstheme="minorHAnsi"/>
              </w:rPr>
              <w:t>Don’t get to choose which places that this pops up but can de</w:t>
            </w:r>
            <w:r w:rsidR="00FF498A" w:rsidRPr="00FF498A">
              <w:rPr>
                <w:rFonts w:asciiTheme="minorHAnsi" w:hAnsiTheme="minorHAnsi" w:cstheme="minorHAnsi"/>
              </w:rPr>
              <w:t>termine frequency and if opt out</w:t>
            </w:r>
            <w:r w:rsidRPr="00FF498A">
              <w:rPr>
                <w:rFonts w:asciiTheme="minorHAnsi" w:hAnsiTheme="minorHAnsi" w:cstheme="minorHAnsi"/>
              </w:rPr>
              <w:t xml:space="preserve">.  </w:t>
            </w:r>
          </w:p>
          <w:p w:rsidR="004E54BC" w:rsidRPr="00FF498A" w:rsidRDefault="000E22FC" w:rsidP="004E54B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498A">
              <w:rPr>
                <w:rFonts w:asciiTheme="minorHAnsi" w:hAnsiTheme="minorHAnsi" w:cstheme="minorHAnsi"/>
              </w:rPr>
              <w:t xml:space="preserve">They are very new and are </w:t>
            </w:r>
            <w:r w:rsidR="00FF498A" w:rsidRPr="00FF498A">
              <w:rPr>
                <w:rFonts w:asciiTheme="minorHAnsi" w:hAnsiTheme="minorHAnsi" w:cstheme="minorHAnsi"/>
              </w:rPr>
              <w:t xml:space="preserve">not </w:t>
            </w:r>
            <w:r w:rsidRPr="00FF498A">
              <w:rPr>
                <w:rFonts w:asciiTheme="minorHAnsi" w:hAnsiTheme="minorHAnsi" w:cstheme="minorHAnsi"/>
              </w:rPr>
              <w:t xml:space="preserve">really quite doing full licenses yet – smaller basis.  </w:t>
            </w:r>
          </w:p>
          <w:p w:rsidR="004E54BC" w:rsidRPr="00FF498A" w:rsidRDefault="000E22FC" w:rsidP="004E54B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498A">
              <w:rPr>
                <w:rFonts w:asciiTheme="minorHAnsi" w:hAnsiTheme="minorHAnsi" w:cstheme="minorHAnsi"/>
              </w:rPr>
              <w:t xml:space="preserve">Could incorporate into enrollment &amp; canvas would be good. </w:t>
            </w:r>
          </w:p>
          <w:p w:rsidR="004E12C4" w:rsidRPr="00FF498A" w:rsidRDefault="000E22FC" w:rsidP="004E54B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498A">
              <w:rPr>
                <w:rFonts w:asciiTheme="minorHAnsi" w:hAnsiTheme="minorHAnsi" w:cstheme="minorHAnsi"/>
              </w:rPr>
              <w:t>If we choose this however we would be like a beta tester.</w:t>
            </w:r>
          </w:p>
          <w:p w:rsidR="004E54BC" w:rsidRDefault="006D3ECD" w:rsidP="007F5D6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Ellucian Cloud Move</w:t>
            </w:r>
            <w:r w:rsidR="00853BC8">
              <w:rPr>
                <w:rFonts w:asciiTheme="minorHAnsi" w:hAnsiTheme="minorHAnsi" w:cstheme="minorHAnsi"/>
              </w:rPr>
              <w:t xml:space="preserve"> – Where’s Banner and What’s Moving</w:t>
            </w:r>
            <w:r w:rsidR="000E22FC">
              <w:rPr>
                <w:rFonts w:asciiTheme="minorHAnsi" w:hAnsiTheme="minorHAnsi" w:cstheme="minorHAnsi"/>
              </w:rPr>
              <w:t xml:space="preserve"> – </w:t>
            </w:r>
          </w:p>
          <w:p w:rsidR="004E54BC" w:rsidRDefault="000E22FC" w:rsidP="004E54B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Banner will go to Cloud and it will still be the same just stored in cloud and not on servers.  </w:t>
            </w:r>
          </w:p>
          <w:p w:rsidR="004E54BC" w:rsidRDefault="000E22FC" w:rsidP="004E54B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Job submissions &amp; Reporting might be different for end users.  </w:t>
            </w:r>
          </w:p>
          <w:p w:rsidR="001F0773" w:rsidRDefault="000E22FC" w:rsidP="004E54B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 moving to Cloud</w:t>
            </w:r>
            <w:r w:rsidR="0063598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IT </w:t>
            </w:r>
            <w:r w:rsidR="00635980">
              <w:rPr>
                <w:rFonts w:asciiTheme="minorHAnsi" w:hAnsiTheme="minorHAnsi" w:cstheme="minorHAnsi"/>
              </w:rPr>
              <w:t xml:space="preserve">we </w:t>
            </w:r>
            <w:r>
              <w:rPr>
                <w:rFonts w:asciiTheme="minorHAnsi" w:hAnsiTheme="minorHAnsi" w:cstheme="minorHAnsi"/>
              </w:rPr>
              <w:t>will be able to get to projects sooner.</w:t>
            </w:r>
          </w:p>
          <w:p w:rsidR="00FF498A" w:rsidRDefault="00853BC8" w:rsidP="007F5D6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Vision for Institution</w:t>
            </w:r>
            <w:r w:rsidR="000E22FC">
              <w:rPr>
                <w:rFonts w:asciiTheme="minorHAnsi" w:hAnsiTheme="minorHAnsi" w:cstheme="minorHAnsi"/>
              </w:rPr>
              <w:t xml:space="preserve"> – </w:t>
            </w:r>
          </w:p>
          <w:p w:rsidR="00FF498A" w:rsidRDefault="000E22FC" w:rsidP="00FF498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Every time we add a software we </w:t>
            </w:r>
            <w:r w:rsidR="004E54BC">
              <w:rPr>
                <w:rFonts w:asciiTheme="minorHAnsi" w:hAnsiTheme="minorHAnsi" w:cstheme="minorHAnsi"/>
              </w:rPr>
              <w:t xml:space="preserve">have to </w:t>
            </w:r>
            <w:r>
              <w:rPr>
                <w:rFonts w:asciiTheme="minorHAnsi" w:hAnsiTheme="minorHAnsi" w:cstheme="minorHAnsi"/>
              </w:rPr>
              <w:t xml:space="preserve">add a server so it talks to Banner.  </w:t>
            </w:r>
          </w:p>
          <w:p w:rsidR="00FF498A" w:rsidRPr="00FF498A" w:rsidRDefault="004E54BC" w:rsidP="00FF498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F498A">
              <w:rPr>
                <w:rFonts w:asciiTheme="minorHAnsi" w:hAnsiTheme="minorHAnsi" w:cstheme="minorHAnsi"/>
              </w:rPr>
              <w:t>C</w:t>
            </w:r>
            <w:r w:rsidR="000E22FC" w:rsidRPr="00FF498A">
              <w:rPr>
                <w:rFonts w:asciiTheme="minorHAnsi" w:hAnsiTheme="minorHAnsi" w:cstheme="minorHAnsi"/>
              </w:rPr>
              <w:t xml:space="preserve">onsolidate to Ellucian Ethos Integration.  </w:t>
            </w:r>
          </w:p>
          <w:p w:rsidR="00853BC8" w:rsidRDefault="000E22FC" w:rsidP="00FF498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Ethos Identity will help lessen our confusion for our institution</w:t>
            </w:r>
            <w:r w:rsidR="004E54B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as </w:t>
            </w:r>
            <w:r w:rsidR="004E54BC">
              <w:rPr>
                <w:rFonts w:asciiTheme="minorHAnsi" w:hAnsiTheme="minorHAnsi" w:cstheme="minorHAnsi"/>
              </w:rPr>
              <w:t xml:space="preserve">it </w:t>
            </w:r>
            <w:r>
              <w:rPr>
                <w:rFonts w:asciiTheme="minorHAnsi" w:hAnsiTheme="minorHAnsi" w:cstheme="minorHAnsi"/>
              </w:rPr>
              <w:t xml:space="preserve">will </w:t>
            </w:r>
            <w:r w:rsidR="004E54BC">
              <w:rPr>
                <w:rFonts w:asciiTheme="minorHAnsi" w:hAnsiTheme="minorHAnsi" w:cstheme="minorHAnsi"/>
              </w:rPr>
              <w:t>require</w:t>
            </w:r>
            <w:r>
              <w:rPr>
                <w:rFonts w:asciiTheme="minorHAnsi" w:hAnsiTheme="minorHAnsi" w:cstheme="minorHAnsi"/>
              </w:rPr>
              <w:t xml:space="preserve"> less passwords.  If would like can read more information in President</w:t>
            </w:r>
            <w:r w:rsidR="000C0FF5">
              <w:rPr>
                <w:rFonts w:asciiTheme="minorHAnsi" w:hAnsiTheme="minorHAnsi" w:cstheme="minorHAnsi"/>
              </w:rPr>
              <w:t xml:space="preserve">s Staff </w:t>
            </w:r>
            <w:r w:rsidR="00611887">
              <w:rPr>
                <w:rFonts w:asciiTheme="minorHAnsi" w:hAnsiTheme="minorHAnsi" w:cstheme="minorHAnsi"/>
              </w:rPr>
              <w:t xml:space="preserve">April </w:t>
            </w:r>
            <w:r w:rsidR="000C0FF5">
              <w:rPr>
                <w:rFonts w:asciiTheme="minorHAnsi" w:hAnsiTheme="minorHAnsi" w:cstheme="minorHAnsi"/>
              </w:rPr>
              <w:t>Agenda.</w:t>
            </w:r>
          </w:p>
          <w:p w:rsidR="001E442E" w:rsidRDefault="00853BC8" w:rsidP="00853BC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0365 pics – See President’s Staff</w:t>
            </w:r>
            <w:r w:rsidR="001E442E">
              <w:rPr>
                <w:rFonts w:asciiTheme="minorHAnsi" w:hAnsiTheme="minorHAnsi" w:cstheme="minorHAnsi"/>
              </w:rPr>
              <w:t xml:space="preserve"> </w:t>
            </w:r>
          </w:p>
          <w:p w:rsidR="00853BC8" w:rsidRDefault="002B6546" w:rsidP="001E442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Want to m</w:t>
            </w:r>
            <w:r w:rsidR="000C0FF5">
              <w:rPr>
                <w:rFonts w:asciiTheme="minorHAnsi" w:hAnsiTheme="minorHAnsi" w:cstheme="minorHAnsi"/>
              </w:rPr>
              <w:t xml:space="preserve">ake sure </w:t>
            </w:r>
            <w:r>
              <w:rPr>
                <w:rFonts w:asciiTheme="minorHAnsi" w:hAnsiTheme="minorHAnsi" w:cstheme="minorHAnsi"/>
              </w:rPr>
              <w:t>pictures</w:t>
            </w:r>
            <w:r w:rsidR="000C0FF5">
              <w:rPr>
                <w:rFonts w:asciiTheme="minorHAnsi" w:hAnsiTheme="minorHAnsi" w:cstheme="minorHAnsi"/>
              </w:rPr>
              <w:t xml:space="preserve"> are professional (ex. The picture PR took)</w:t>
            </w:r>
          </w:p>
          <w:p w:rsidR="00C84D1E" w:rsidRDefault="00B65AC7" w:rsidP="00C84D1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SKITCH </w:t>
            </w:r>
            <w:r w:rsidR="00C84D1E">
              <w:rPr>
                <w:rFonts w:asciiTheme="minorHAnsi" w:hAnsiTheme="minorHAnsi" w:cstheme="minorHAnsi"/>
              </w:rPr>
              <w:t>App</w:t>
            </w:r>
            <w:r>
              <w:rPr>
                <w:rFonts w:asciiTheme="minorHAnsi" w:hAnsiTheme="minorHAnsi" w:cstheme="minorHAnsi"/>
              </w:rPr>
              <w:t xml:space="preserve"> – Screenshots</w:t>
            </w:r>
          </w:p>
          <w:p w:rsidR="00C84D1E" w:rsidRDefault="00C84D1E" w:rsidP="00C84D1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s</w:t>
            </w:r>
            <w:r w:rsidR="00B65AC7">
              <w:rPr>
                <w:rFonts w:asciiTheme="minorHAnsi" w:hAnsiTheme="minorHAnsi" w:cstheme="minorHAnsi"/>
              </w:rPr>
              <w:t xml:space="preserve">uggested to use since it </w:t>
            </w:r>
            <w:r>
              <w:rPr>
                <w:rFonts w:asciiTheme="minorHAnsi" w:hAnsiTheme="minorHAnsi" w:cstheme="minorHAnsi"/>
              </w:rPr>
              <w:t xml:space="preserve">includes </w:t>
            </w:r>
            <w:r w:rsidR="00B65AC7">
              <w:rPr>
                <w:rFonts w:asciiTheme="minorHAnsi" w:hAnsiTheme="minorHAnsi" w:cstheme="minorHAnsi"/>
              </w:rPr>
              <w:t>arrows and texts</w:t>
            </w:r>
            <w:r w:rsidR="00611887">
              <w:rPr>
                <w:rFonts w:asciiTheme="minorHAnsi" w:hAnsiTheme="minorHAnsi" w:cstheme="minorHAnsi"/>
              </w:rPr>
              <w:t xml:space="preserve"> that can be added</w:t>
            </w:r>
            <w:r w:rsidR="00B65AC7">
              <w:rPr>
                <w:rFonts w:asciiTheme="minorHAnsi" w:hAnsiTheme="minorHAnsi" w:cstheme="minorHAnsi"/>
              </w:rPr>
              <w:t>.</w:t>
            </w:r>
          </w:p>
          <w:p w:rsidR="00C84D1E" w:rsidRDefault="00B65AC7" w:rsidP="00C84D1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Renee/Michelle to review if this would be a good app to use for the whole college</w:t>
            </w:r>
            <w:r w:rsidR="000C0FF5">
              <w:rPr>
                <w:rFonts w:asciiTheme="minorHAnsi" w:hAnsiTheme="minorHAnsi" w:cstheme="minorHAnsi"/>
              </w:rPr>
              <w:t xml:space="preserve"> and also check for security</w:t>
            </w:r>
            <w:r>
              <w:rPr>
                <w:rFonts w:asciiTheme="minorHAnsi" w:hAnsiTheme="minorHAnsi" w:cstheme="minorHAnsi"/>
              </w:rPr>
              <w:t>.</w:t>
            </w:r>
            <w:r w:rsidR="006A23C9">
              <w:rPr>
                <w:rFonts w:asciiTheme="minorHAnsi" w:hAnsiTheme="minorHAnsi" w:cstheme="minorHAnsi"/>
              </w:rPr>
              <w:t xml:space="preserve">  </w:t>
            </w:r>
          </w:p>
          <w:p w:rsidR="00C84D1E" w:rsidRDefault="006A23C9" w:rsidP="00C84D1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is an </w:t>
            </w:r>
            <w:r w:rsidR="003C21EE">
              <w:rPr>
                <w:rFonts w:asciiTheme="minorHAnsi" w:hAnsiTheme="minorHAnsi" w:cstheme="minorHAnsi"/>
              </w:rPr>
              <w:t>Evernote</w:t>
            </w:r>
            <w:r>
              <w:rPr>
                <w:rFonts w:asciiTheme="minorHAnsi" w:hAnsiTheme="minorHAnsi" w:cstheme="minorHAnsi"/>
              </w:rPr>
              <w:t xml:space="preserve"> product</w:t>
            </w:r>
            <w:r w:rsidR="000C0FF5">
              <w:rPr>
                <w:rFonts w:asciiTheme="minorHAnsi" w:hAnsiTheme="minorHAnsi" w:cstheme="minorHAnsi"/>
              </w:rPr>
              <w:t xml:space="preserve">, but don’t have to have Evernote to use it.  </w:t>
            </w:r>
          </w:p>
          <w:p w:rsidR="00B65AC7" w:rsidRPr="00730B7E" w:rsidRDefault="000C0FF5" w:rsidP="00C84D1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be used for a teaching tool.  </w:t>
            </w:r>
          </w:p>
        </w:tc>
        <w:tc>
          <w:tcPr>
            <w:tcW w:w="2340" w:type="dxa"/>
            <w:shd w:val="clear" w:color="auto" w:fill="auto"/>
          </w:tcPr>
          <w:p w:rsidR="000E30CA" w:rsidRDefault="008217D5" w:rsidP="000E3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Michelle Kaiser</w:t>
            </w:r>
          </w:p>
          <w:p w:rsidR="004E12C4" w:rsidRDefault="004E12C4" w:rsidP="000E30CA">
            <w:pPr>
              <w:rPr>
                <w:rFonts w:asciiTheme="minorHAnsi" w:hAnsiTheme="minorHAnsi" w:cstheme="minorHAnsi"/>
              </w:rPr>
            </w:pPr>
          </w:p>
          <w:p w:rsidR="004E12C4" w:rsidRDefault="004E12C4" w:rsidP="000E30CA">
            <w:pPr>
              <w:rPr>
                <w:rFonts w:asciiTheme="minorHAnsi" w:hAnsiTheme="minorHAnsi" w:cstheme="minorHAnsi"/>
              </w:rPr>
            </w:pPr>
          </w:p>
          <w:p w:rsidR="004E12C4" w:rsidRDefault="004E12C4" w:rsidP="000E30CA">
            <w:pPr>
              <w:rPr>
                <w:rFonts w:asciiTheme="minorHAnsi" w:hAnsiTheme="minorHAnsi" w:cstheme="minorHAnsi"/>
              </w:rPr>
            </w:pPr>
          </w:p>
          <w:p w:rsidR="000E22FC" w:rsidRDefault="000E22FC" w:rsidP="000E30CA">
            <w:pPr>
              <w:rPr>
                <w:rFonts w:asciiTheme="minorHAnsi" w:hAnsiTheme="minorHAnsi" w:cstheme="minorHAnsi"/>
              </w:rPr>
            </w:pPr>
          </w:p>
          <w:p w:rsidR="000E22FC" w:rsidRDefault="000E22FC" w:rsidP="000E30CA">
            <w:pPr>
              <w:rPr>
                <w:rFonts w:asciiTheme="minorHAnsi" w:hAnsiTheme="minorHAnsi" w:cstheme="minorHAnsi"/>
              </w:rPr>
            </w:pPr>
          </w:p>
          <w:p w:rsidR="000E22FC" w:rsidRDefault="000E22FC" w:rsidP="000E30CA">
            <w:pPr>
              <w:rPr>
                <w:rFonts w:asciiTheme="minorHAnsi" w:hAnsiTheme="minorHAnsi" w:cstheme="minorHAnsi"/>
              </w:rPr>
            </w:pPr>
          </w:p>
          <w:p w:rsidR="000E22FC" w:rsidRDefault="000E22FC" w:rsidP="000E30CA">
            <w:pPr>
              <w:rPr>
                <w:rFonts w:asciiTheme="minorHAnsi" w:hAnsiTheme="minorHAnsi" w:cstheme="minorHAnsi"/>
              </w:rPr>
            </w:pPr>
          </w:p>
          <w:p w:rsidR="000E22FC" w:rsidRDefault="000E22FC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4E12C4" w:rsidRDefault="004E12C4" w:rsidP="000E3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Todd Mobray</w:t>
            </w: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Default="00F82796" w:rsidP="000E30CA">
            <w:pPr>
              <w:rPr>
                <w:rFonts w:asciiTheme="minorHAnsi" w:hAnsiTheme="minorHAnsi" w:cstheme="minorHAnsi"/>
              </w:rPr>
            </w:pPr>
          </w:p>
          <w:p w:rsidR="00F82796" w:rsidRPr="00CE2E36" w:rsidRDefault="00F82796" w:rsidP="000E3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Todd Mobray</w:t>
            </w:r>
            <w:bookmarkStart w:id="0" w:name="_GoBack"/>
            <w:bookmarkEnd w:id="0"/>
          </w:p>
        </w:tc>
      </w:tr>
      <w:tr w:rsidR="0048260F" w:rsidRPr="005B6540" w:rsidTr="00F26FCE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F26F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Old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F26F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6D3ECD" w:rsidRDefault="006D3ECD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Smarter ID – Student Identity team</w:t>
            </w:r>
          </w:p>
          <w:p w:rsidR="006D3ECD" w:rsidRDefault="006D3ECD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Ellucian ODSL – with going to ECloud – put off until next year</w:t>
            </w:r>
          </w:p>
          <w:p w:rsidR="006D3ECD" w:rsidRPr="006D3ECD" w:rsidRDefault="006D3ECD" w:rsidP="006D3EC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Classroom Planning Update</w:t>
            </w:r>
          </w:p>
          <w:p w:rsidR="006545A3" w:rsidRDefault="006545A3" w:rsidP="00AE0B4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ALC –</w:t>
            </w:r>
            <w:r w:rsidR="006D3ECD">
              <w:rPr>
                <w:rFonts w:asciiTheme="minorHAnsi" w:hAnsiTheme="minorHAnsi" w:cstheme="minorHAnsi"/>
              </w:rPr>
              <w:t xml:space="preserve"> NexTECH</w:t>
            </w:r>
            <w:r>
              <w:rPr>
                <w:rFonts w:asciiTheme="minorHAnsi" w:hAnsiTheme="minorHAnsi" w:cstheme="minorHAnsi"/>
              </w:rPr>
              <w:t xml:space="preserve"> funding first classroom</w:t>
            </w:r>
          </w:p>
          <w:p w:rsidR="007A6D90" w:rsidRDefault="007A6D90" w:rsidP="007A6D9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would try to go through an endowment with the college to update the room.</w:t>
            </w:r>
          </w:p>
          <w:p w:rsidR="007A6D90" w:rsidRDefault="007A6D90" w:rsidP="007A6D9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C-150 is the classroom we are looking to upgrade to an Active Learning Classroom.</w:t>
            </w:r>
          </w:p>
          <w:p w:rsidR="007A6D90" w:rsidRDefault="007A6D90" w:rsidP="007A6D9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Won’t hear anything until End of February.</w:t>
            </w:r>
          </w:p>
          <w:p w:rsidR="007A6D90" w:rsidRDefault="007A6D90" w:rsidP="007A6D9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Looks favorable and they might do furniture and all.</w:t>
            </w:r>
          </w:p>
          <w:p w:rsidR="007A6D90" w:rsidRDefault="007A6D90" w:rsidP="007A6D9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ALC </w:t>
            </w:r>
            <w:r w:rsidR="003E560A">
              <w:rPr>
                <w:rFonts w:asciiTheme="minorHAnsi" w:hAnsiTheme="minorHAnsi" w:cstheme="minorHAnsi"/>
              </w:rPr>
              <w:t xml:space="preserve">team </w:t>
            </w:r>
            <w:r>
              <w:rPr>
                <w:rFonts w:asciiTheme="minorHAnsi" w:hAnsiTheme="minorHAnsi" w:cstheme="minorHAnsi"/>
              </w:rPr>
              <w:t>put in for a grant to work on another classroom that might be able to be upgraded as well.</w:t>
            </w:r>
          </w:p>
          <w:p w:rsidR="0048260F" w:rsidRDefault="0048260F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O365 Upgrade for Students – Update</w:t>
            </w:r>
          </w:p>
          <w:p w:rsidR="000E09A2" w:rsidRDefault="00630DF3" w:rsidP="000E09A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should have a better grasp once we get to the students since the employees will already be done.</w:t>
            </w:r>
          </w:p>
          <w:p w:rsidR="00630DF3" w:rsidRDefault="00630DF3" w:rsidP="000E09A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all student e-mail addresses from bartoncougars.org to bartonccc.edu</w:t>
            </w:r>
          </w:p>
          <w:p w:rsidR="00630DF3" w:rsidRDefault="00767B35" w:rsidP="000E09A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will have </w:t>
            </w:r>
            <w:r w:rsidR="00630DF3">
              <w:rPr>
                <w:rFonts w:asciiTheme="minorHAnsi" w:hAnsiTheme="minorHAnsi" w:cstheme="minorHAnsi"/>
              </w:rPr>
              <w:t xml:space="preserve">concurrent access </w:t>
            </w:r>
            <w:r>
              <w:rPr>
                <w:rFonts w:asciiTheme="minorHAnsi" w:hAnsiTheme="minorHAnsi" w:cstheme="minorHAnsi"/>
              </w:rPr>
              <w:t xml:space="preserve">to both e-mail addresses </w:t>
            </w:r>
            <w:r w:rsidR="00630DF3">
              <w:rPr>
                <w:rFonts w:asciiTheme="minorHAnsi" w:hAnsiTheme="minorHAnsi" w:cstheme="minorHAnsi"/>
              </w:rPr>
              <w:t>for a brief time.</w:t>
            </w:r>
          </w:p>
          <w:p w:rsidR="00866390" w:rsidRDefault="00866390" w:rsidP="000E09A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Looking at this summer, but not quite sure until we get the employees completed.</w:t>
            </w:r>
          </w:p>
          <w:p w:rsidR="00866390" w:rsidRDefault="00866390" w:rsidP="000E09A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Nothing on desktops in classrooms will be changing and it won’t impact O365 on classrooms online etc.</w:t>
            </w:r>
          </w:p>
          <w:p w:rsidR="00866390" w:rsidRDefault="00866390" w:rsidP="000E09A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Currently if someone sets up an e-mail we keep it forever.  Michelle is looking at </w:t>
            </w:r>
            <w:r w:rsidR="00767B35">
              <w:rPr>
                <w:rFonts w:asciiTheme="minorHAnsi" w:hAnsiTheme="minorHAnsi" w:cstheme="minorHAnsi"/>
              </w:rPr>
              <w:t xml:space="preserve">different </w:t>
            </w:r>
            <w:r>
              <w:rPr>
                <w:rFonts w:asciiTheme="minorHAnsi" w:hAnsiTheme="minorHAnsi" w:cstheme="minorHAnsi"/>
              </w:rPr>
              <w:t>polic</w:t>
            </w:r>
            <w:r w:rsidR="00767B35">
              <w:rPr>
                <w:rFonts w:asciiTheme="minorHAnsi" w:hAnsiTheme="minorHAnsi" w:cstheme="minorHAnsi"/>
              </w:rPr>
              <w:t>ies</w:t>
            </w:r>
            <w:r>
              <w:rPr>
                <w:rFonts w:asciiTheme="minorHAnsi" w:hAnsiTheme="minorHAnsi" w:cstheme="minorHAnsi"/>
              </w:rPr>
              <w:t xml:space="preserve"> of what other community colleges and 4 year </w:t>
            </w:r>
            <w:r w:rsidR="002D7863">
              <w:rPr>
                <w:rFonts w:asciiTheme="minorHAnsi" w:hAnsiTheme="minorHAnsi" w:cstheme="minorHAnsi"/>
              </w:rPr>
              <w:t>institutions</w:t>
            </w:r>
            <w:r>
              <w:rPr>
                <w:rFonts w:asciiTheme="minorHAnsi" w:hAnsiTheme="minorHAnsi" w:cstheme="minorHAnsi"/>
              </w:rPr>
              <w:t xml:space="preserve"> are currently doing.  With keeping e-mail forever we can’t afford to move.</w:t>
            </w:r>
          </w:p>
          <w:p w:rsidR="005C7E09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Portal – </w:t>
            </w:r>
          </w:p>
          <w:p w:rsidR="003C21EE" w:rsidRPr="00960F6E" w:rsidRDefault="003C21EE" w:rsidP="00362CA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 xml:space="preserve">Student’s liked the icons better.  Everyone liked the idea of single sign-on.  </w:t>
            </w:r>
            <w:r w:rsidR="00960F6E" w:rsidRPr="00960F6E">
              <w:rPr>
                <w:rFonts w:asciiTheme="minorHAnsi" w:hAnsiTheme="minorHAnsi" w:cstheme="minorHAnsi"/>
              </w:rPr>
              <w:t>We h</w:t>
            </w:r>
            <w:r w:rsidRPr="00960F6E">
              <w:rPr>
                <w:rFonts w:asciiTheme="minorHAnsi" w:hAnsiTheme="minorHAnsi" w:cstheme="minorHAnsi"/>
              </w:rPr>
              <w:t xml:space="preserve">ad a few demonstrations that was shown to the team and </w:t>
            </w:r>
            <w:r w:rsidR="00960F6E" w:rsidRPr="00960F6E">
              <w:rPr>
                <w:rFonts w:asciiTheme="minorHAnsi" w:hAnsiTheme="minorHAnsi" w:cstheme="minorHAnsi"/>
              </w:rPr>
              <w:t xml:space="preserve">we </w:t>
            </w:r>
            <w:r w:rsidRPr="00960F6E">
              <w:rPr>
                <w:rFonts w:asciiTheme="minorHAnsi" w:hAnsiTheme="minorHAnsi" w:cstheme="minorHAnsi"/>
              </w:rPr>
              <w:t xml:space="preserve">are </w:t>
            </w:r>
            <w:r w:rsidR="00960F6E" w:rsidRPr="00960F6E">
              <w:rPr>
                <w:rFonts w:asciiTheme="minorHAnsi" w:hAnsiTheme="minorHAnsi" w:cstheme="minorHAnsi"/>
              </w:rPr>
              <w:t xml:space="preserve">currently </w:t>
            </w:r>
            <w:r w:rsidRPr="00960F6E">
              <w:rPr>
                <w:rFonts w:asciiTheme="minorHAnsi" w:hAnsiTheme="minorHAnsi" w:cstheme="minorHAnsi"/>
              </w:rPr>
              <w:t>working from there.</w:t>
            </w:r>
          </w:p>
          <w:p w:rsidR="005C7E09" w:rsidRPr="00960F6E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>Banner into the ECloud</w:t>
            </w:r>
          </w:p>
          <w:p w:rsidR="00362CAF" w:rsidRPr="00960F6E" w:rsidRDefault="00362CAF" w:rsidP="00362CA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>Ellucian was on site and met with the President’s Cabinet.</w:t>
            </w:r>
          </w:p>
          <w:p w:rsidR="00362CAF" w:rsidRPr="00960F6E" w:rsidRDefault="00362CAF" w:rsidP="00362CA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>Looked favorable to move everything to the cloud and we are pursuing it further.</w:t>
            </w:r>
          </w:p>
          <w:p w:rsidR="00362CAF" w:rsidRPr="00960F6E" w:rsidRDefault="00767B35" w:rsidP="00362CA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>B</w:t>
            </w:r>
            <w:r w:rsidR="00362CAF" w:rsidRPr="00960F6E">
              <w:rPr>
                <w:rFonts w:asciiTheme="minorHAnsi" w:hAnsiTheme="minorHAnsi" w:cstheme="minorHAnsi"/>
              </w:rPr>
              <w:t xml:space="preserve">y next meeting will hopefully have something </w:t>
            </w:r>
            <w:r w:rsidRPr="00960F6E">
              <w:rPr>
                <w:rFonts w:asciiTheme="minorHAnsi" w:hAnsiTheme="minorHAnsi" w:cstheme="minorHAnsi"/>
              </w:rPr>
              <w:t xml:space="preserve">more </w:t>
            </w:r>
            <w:r w:rsidR="00362CAF" w:rsidRPr="00960F6E">
              <w:rPr>
                <w:rFonts w:asciiTheme="minorHAnsi" w:hAnsiTheme="minorHAnsi" w:cstheme="minorHAnsi"/>
              </w:rPr>
              <w:t>to present.</w:t>
            </w:r>
          </w:p>
          <w:p w:rsidR="00362CAF" w:rsidRPr="00960F6E" w:rsidRDefault="00362CAF" w:rsidP="00362CA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 xml:space="preserve">With Banner Version 9 – it has increased our servers since it is totally different than previous version.  IT is spending more time on servers than functionality.  If we move to </w:t>
            </w:r>
            <w:r w:rsidR="00A670C8" w:rsidRPr="00960F6E">
              <w:rPr>
                <w:rFonts w:asciiTheme="minorHAnsi" w:hAnsiTheme="minorHAnsi" w:cstheme="minorHAnsi"/>
              </w:rPr>
              <w:t>the</w:t>
            </w:r>
            <w:r w:rsidRPr="00960F6E">
              <w:rPr>
                <w:rFonts w:asciiTheme="minorHAnsi" w:hAnsiTheme="minorHAnsi" w:cstheme="minorHAnsi"/>
              </w:rPr>
              <w:t xml:space="preserve"> cloud it would benefit </w:t>
            </w:r>
            <w:r w:rsidR="00E12481" w:rsidRPr="00960F6E">
              <w:rPr>
                <w:rFonts w:asciiTheme="minorHAnsi" w:hAnsiTheme="minorHAnsi" w:cstheme="minorHAnsi"/>
              </w:rPr>
              <w:t>students</w:t>
            </w:r>
            <w:r w:rsidR="003E560A" w:rsidRPr="00960F6E">
              <w:rPr>
                <w:rFonts w:asciiTheme="minorHAnsi" w:hAnsiTheme="minorHAnsi" w:cstheme="minorHAnsi"/>
              </w:rPr>
              <w:t xml:space="preserve"> and employees.</w:t>
            </w:r>
            <w:r w:rsidRPr="00960F6E">
              <w:rPr>
                <w:rFonts w:asciiTheme="minorHAnsi" w:hAnsiTheme="minorHAnsi" w:cstheme="minorHAnsi"/>
              </w:rPr>
              <w:t xml:space="preserve">  </w:t>
            </w:r>
          </w:p>
          <w:p w:rsidR="00362CAF" w:rsidRPr="00960F6E" w:rsidRDefault="00362CAF" w:rsidP="00362CA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>More to come on this.</w:t>
            </w:r>
          </w:p>
          <w:p w:rsidR="005C7E09" w:rsidRPr="00960F6E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 xml:space="preserve">Cyber Security Training – </w:t>
            </w:r>
          </w:p>
          <w:p w:rsidR="003C21EE" w:rsidRPr="00960F6E" w:rsidRDefault="00960F6E" w:rsidP="00362CA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960F6E">
              <w:rPr>
                <w:rFonts w:asciiTheme="minorHAnsi" w:hAnsiTheme="minorHAnsi" w:cstheme="minorHAnsi"/>
              </w:rPr>
              <w:t>As we were g</w:t>
            </w:r>
            <w:r w:rsidR="003C21EE" w:rsidRPr="00960F6E">
              <w:rPr>
                <w:rFonts w:asciiTheme="minorHAnsi" w:hAnsiTheme="minorHAnsi" w:cstheme="minorHAnsi"/>
              </w:rPr>
              <w:t xml:space="preserve">oing through this training </w:t>
            </w:r>
            <w:r w:rsidRPr="00960F6E">
              <w:rPr>
                <w:rFonts w:asciiTheme="minorHAnsi" w:hAnsiTheme="minorHAnsi" w:cstheme="minorHAnsi"/>
              </w:rPr>
              <w:t xml:space="preserve">we </w:t>
            </w:r>
            <w:r w:rsidR="003C21EE" w:rsidRPr="00960F6E">
              <w:rPr>
                <w:rFonts w:asciiTheme="minorHAnsi" w:hAnsiTheme="minorHAnsi" w:cstheme="minorHAnsi"/>
              </w:rPr>
              <w:t>found Blue Team Forms that were needing to be submitte</w:t>
            </w:r>
            <w:r w:rsidRPr="00960F6E">
              <w:rPr>
                <w:rFonts w:asciiTheme="minorHAnsi" w:hAnsiTheme="minorHAnsi" w:cstheme="minorHAnsi"/>
              </w:rPr>
              <w:t>d.  This created HR to update</w:t>
            </w:r>
            <w:r w:rsidR="003C21EE" w:rsidRPr="00960F6E">
              <w:rPr>
                <w:rFonts w:asciiTheme="minorHAnsi" w:hAnsiTheme="minorHAnsi" w:cstheme="minorHAnsi"/>
              </w:rPr>
              <w:t xml:space="preserve"> their processes.</w:t>
            </w:r>
          </w:p>
          <w:p w:rsidR="00362CAF" w:rsidRDefault="00362CAF" w:rsidP="00362CA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February 1</w:t>
            </w:r>
            <w:r w:rsidRPr="00362CAF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– April 1</w:t>
            </w:r>
            <w:r w:rsidRPr="00362CAF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C21EE">
              <w:rPr>
                <w:rFonts w:asciiTheme="minorHAnsi" w:hAnsiTheme="minorHAnsi" w:cstheme="minorHAnsi"/>
              </w:rPr>
              <w:t xml:space="preserve">was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A670C8">
              <w:rPr>
                <w:rFonts w:asciiTheme="minorHAnsi" w:hAnsiTheme="minorHAnsi" w:cstheme="minorHAnsi"/>
              </w:rPr>
              <w:t>Institution</w:t>
            </w:r>
            <w:r>
              <w:rPr>
                <w:rFonts w:asciiTheme="minorHAnsi" w:hAnsiTheme="minorHAnsi" w:cstheme="minorHAnsi"/>
              </w:rPr>
              <w:t xml:space="preserve"> Mandatory Training.</w:t>
            </w:r>
          </w:p>
          <w:p w:rsidR="00362CAF" w:rsidRDefault="00F11F8A" w:rsidP="00362CA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Content &amp; shorter (last year it was a little less than an hour)</w:t>
            </w:r>
          </w:p>
          <w:p w:rsidR="00F11F8A" w:rsidRPr="00B36FAF" w:rsidRDefault="00F11F8A" w:rsidP="00362CA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be another group divided that will receive special training.  These people work with personal info on students.  They will get a notification from their supervisor if they need to complete this additional training.</w:t>
            </w:r>
          </w:p>
          <w:p w:rsidR="005C7E09" w:rsidRDefault="005C7E09" w:rsidP="005C7E0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Banner – Banner 9 Self Service</w:t>
            </w:r>
          </w:p>
          <w:p w:rsidR="00F11F8A" w:rsidRDefault="00F11F8A" w:rsidP="00F11F8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Still in testing.</w:t>
            </w:r>
          </w:p>
          <w:p w:rsidR="00A670C8" w:rsidRDefault="00A670C8" w:rsidP="00A670C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Miscellaneous </w:t>
            </w:r>
          </w:p>
          <w:p w:rsidR="006B3C0A" w:rsidRPr="006B3C0A" w:rsidRDefault="00A670C8" w:rsidP="00E16A5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Endpoint is going to go away and we will switch to another software that is al</w:t>
            </w:r>
            <w:r w:rsidR="003E560A">
              <w:rPr>
                <w:rFonts w:asciiTheme="minorHAnsi" w:hAnsiTheme="minorHAnsi" w:cstheme="minorHAnsi"/>
              </w:rPr>
              <w:t>ready currently in production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40CA1" w:rsidRPr="00CE2E36" w:rsidRDefault="008217D5" w:rsidP="00DB2C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Michelle Kaiser</w:t>
            </w:r>
          </w:p>
        </w:tc>
      </w:tr>
      <w:tr w:rsidR="0048260F" w:rsidRPr="005B6540" w:rsidTr="00F26FCE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4826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Action Items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8260F" w:rsidRPr="005B6540" w:rsidRDefault="0048260F" w:rsidP="00F26F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8260F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6128DA" w:rsidRDefault="00A0577A" w:rsidP="00B65AC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Renee and Michelle will review</w:t>
            </w:r>
            <w:r w:rsidR="00B65AC7">
              <w:rPr>
                <w:rFonts w:asciiTheme="minorHAnsi" w:hAnsiTheme="minorHAnsi" w:cstheme="minorHAnsi"/>
              </w:rPr>
              <w:t xml:space="preserve"> SKITCH </w:t>
            </w:r>
            <w:r>
              <w:rPr>
                <w:rFonts w:asciiTheme="minorHAnsi" w:hAnsiTheme="minorHAnsi" w:cstheme="minorHAnsi"/>
              </w:rPr>
              <w:t>a</w:t>
            </w:r>
            <w:r w:rsidR="00B65AC7">
              <w:rPr>
                <w:rFonts w:asciiTheme="minorHAnsi" w:hAnsiTheme="minorHAnsi" w:cstheme="minorHAnsi"/>
              </w:rPr>
              <w:t xml:space="preserve">pp </w:t>
            </w:r>
            <w:r>
              <w:rPr>
                <w:rFonts w:asciiTheme="minorHAnsi" w:hAnsiTheme="minorHAnsi" w:cstheme="minorHAnsi"/>
              </w:rPr>
              <w:t xml:space="preserve">for security as well as a possible resource to </w:t>
            </w:r>
            <w:r w:rsidR="00B65AC7">
              <w:rPr>
                <w:rFonts w:asciiTheme="minorHAnsi" w:hAnsiTheme="minorHAnsi" w:cstheme="minorHAnsi"/>
              </w:rPr>
              <w:t>use for screenshots</w:t>
            </w:r>
            <w:r w:rsidR="000C0FF5">
              <w:rPr>
                <w:rFonts w:asciiTheme="minorHAnsi" w:hAnsiTheme="minorHAnsi" w:cstheme="minorHAnsi"/>
              </w:rPr>
              <w:t xml:space="preserve"> for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0C0FF5">
              <w:rPr>
                <w:rFonts w:asciiTheme="minorHAnsi" w:hAnsiTheme="minorHAnsi" w:cstheme="minorHAnsi"/>
              </w:rPr>
              <w:t>whole college</w:t>
            </w:r>
            <w:r w:rsidR="00B65AC7">
              <w:rPr>
                <w:rFonts w:asciiTheme="minorHAnsi" w:hAnsiTheme="minorHAnsi" w:cstheme="minorHAnsi"/>
              </w:rPr>
              <w:t>.</w:t>
            </w:r>
          </w:p>
          <w:p w:rsidR="000E22FC" w:rsidRDefault="00A0577A" w:rsidP="00B65AC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want more information in regards to Ellucian Ethos, you c</w:t>
            </w:r>
            <w:r w:rsidR="000E22FC">
              <w:rPr>
                <w:rFonts w:asciiTheme="minorHAnsi" w:hAnsiTheme="minorHAnsi" w:cstheme="minorHAnsi"/>
              </w:rPr>
              <w:t xml:space="preserve">an read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0E22FC">
              <w:rPr>
                <w:rFonts w:asciiTheme="minorHAnsi" w:hAnsiTheme="minorHAnsi" w:cstheme="minorHAnsi"/>
              </w:rPr>
              <w:t>Ellucian Ethos Identity, Ellucian Ethos Platform, and El</w:t>
            </w:r>
            <w:r w:rsidR="000C0FF5">
              <w:rPr>
                <w:rFonts w:asciiTheme="minorHAnsi" w:hAnsiTheme="minorHAnsi" w:cstheme="minorHAnsi"/>
              </w:rPr>
              <w:t>l</w:t>
            </w:r>
            <w:r w:rsidR="000E22FC">
              <w:rPr>
                <w:rFonts w:asciiTheme="minorHAnsi" w:hAnsiTheme="minorHAnsi" w:cstheme="minorHAnsi"/>
              </w:rPr>
              <w:t xml:space="preserve">ucian Ethos </w:t>
            </w:r>
            <w:r w:rsidR="000C0FF5">
              <w:rPr>
                <w:rFonts w:asciiTheme="minorHAnsi" w:hAnsiTheme="minorHAnsi" w:cstheme="minorHAnsi"/>
              </w:rPr>
              <w:t>eBook</w:t>
            </w:r>
            <w:r w:rsidR="000E22F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located in Presidents Staff April Agenda.  </w:t>
            </w:r>
          </w:p>
          <w:p w:rsidR="000E22FC" w:rsidRPr="00B65AC7" w:rsidRDefault="003C21EE" w:rsidP="00A814C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2010F">
              <w:rPr>
                <w:rFonts w:asciiTheme="minorHAnsi" w:hAnsiTheme="minorHAnsi" w:cstheme="minorHAnsi"/>
              </w:rPr>
              <w:t xml:space="preserve">Erin Renard </w:t>
            </w:r>
            <w:r w:rsidR="00A0577A" w:rsidRPr="00F2010F">
              <w:rPr>
                <w:rFonts w:asciiTheme="minorHAnsi" w:hAnsiTheme="minorHAnsi" w:cstheme="minorHAnsi"/>
              </w:rPr>
              <w:t>will</w:t>
            </w:r>
            <w:r w:rsidRPr="00F2010F">
              <w:rPr>
                <w:rFonts w:asciiTheme="minorHAnsi" w:hAnsiTheme="minorHAnsi" w:cstheme="minorHAnsi"/>
              </w:rPr>
              <w:t xml:space="preserve"> send an </w:t>
            </w:r>
            <w:r w:rsidR="00A0577A" w:rsidRPr="00F2010F">
              <w:rPr>
                <w:rFonts w:asciiTheme="minorHAnsi" w:hAnsiTheme="minorHAnsi" w:cstheme="minorHAnsi"/>
              </w:rPr>
              <w:t>e</w:t>
            </w:r>
            <w:r w:rsidRPr="00F2010F">
              <w:rPr>
                <w:rFonts w:asciiTheme="minorHAnsi" w:hAnsiTheme="minorHAnsi" w:cstheme="minorHAnsi"/>
              </w:rPr>
              <w:t xml:space="preserve">-mail to Michelle with </w:t>
            </w:r>
            <w:r w:rsidR="00A0577A" w:rsidRPr="00F2010F">
              <w:rPr>
                <w:rFonts w:asciiTheme="minorHAnsi" w:hAnsiTheme="minorHAnsi" w:cstheme="minorHAnsi"/>
              </w:rPr>
              <w:t>c</w:t>
            </w:r>
            <w:r w:rsidRPr="00F2010F">
              <w:rPr>
                <w:rFonts w:asciiTheme="minorHAnsi" w:hAnsiTheme="minorHAnsi" w:cstheme="minorHAnsi"/>
              </w:rPr>
              <w:t>oncern</w:t>
            </w:r>
            <w:r w:rsidR="00F2010F" w:rsidRPr="00F2010F">
              <w:rPr>
                <w:rFonts w:asciiTheme="minorHAnsi" w:hAnsiTheme="minorHAnsi" w:cstheme="minorHAnsi"/>
              </w:rPr>
              <w:t>s</w:t>
            </w:r>
            <w:r w:rsidRPr="00F2010F">
              <w:rPr>
                <w:rFonts w:asciiTheme="minorHAnsi" w:hAnsiTheme="minorHAnsi" w:cstheme="minorHAnsi"/>
              </w:rPr>
              <w:t xml:space="preserve"> about the Portal Canvas Icon.</w:t>
            </w:r>
            <w:r w:rsidR="00F2010F" w:rsidRPr="00F2010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:rsidR="0048260F" w:rsidRPr="00CE2E36" w:rsidRDefault="008217D5" w:rsidP="00DB2C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</w:tr>
      <w:tr w:rsidR="00457EF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66716" w:rsidRPr="00CE2E36" w:rsidRDefault="00966716" w:rsidP="00EB6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57EFD" w:rsidRPr="00CE2E36" w:rsidRDefault="00457EFD" w:rsidP="006240A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3B3297" w:rsidRDefault="003B3297" w:rsidP="00E32218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3B3297" w:rsidRPr="00F849A1" w:rsidTr="00F849A1">
        <w:tc>
          <w:tcPr>
            <w:tcW w:w="2965" w:type="dxa"/>
          </w:tcPr>
          <w:p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3B3297" w:rsidRPr="00F849A1" w:rsidTr="00F849A1">
        <w:tc>
          <w:tcPr>
            <w:tcW w:w="2965" w:type="dxa"/>
          </w:tcPr>
          <w:p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  <w:r w:rsidR="000820EE">
              <w:rPr>
                <w:rFonts w:ascii="Arial" w:hAnsi="Arial"/>
                <w:bCs/>
                <w:color w:val="000000"/>
                <w:sz w:val="16"/>
                <w:szCs w:val="16"/>
              </w:rPr>
              <w:t>NING</w:t>
            </w:r>
          </w:p>
        </w:tc>
      </w:tr>
      <w:tr w:rsidR="003B3297" w:rsidRPr="00F849A1" w:rsidTr="00F849A1">
        <w:tc>
          <w:tcPr>
            <w:tcW w:w="2965" w:type="dxa"/>
          </w:tcPr>
          <w:p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3B3297">
        <w:trPr>
          <w:trHeight w:val="22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0820EE" w:rsidRPr="000820EE">
              <w:rPr>
                <w:i/>
                <w:sz w:val="18"/>
                <w:szCs w:val="18"/>
              </w:rPr>
              <w:t>Prioritize retention and completion strategies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0820EE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0820EE">
              <w:rPr>
                <w:i/>
                <w:iCs/>
                <w:sz w:val="18"/>
                <w:szCs w:val="18"/>
              </w:rPr>
              <w:t xml:space="preserve">7. </w:t>
            </w:r>
            <w:r w:rsidR="000820EE" w:rsidRPr="000820EE">
              <w:rPr>
                <w:i/>
                <w:sz w:val="18"/>
                <w:szCs w:val="18"/>
              </w:rPr>
              <w:t>Cultivate a service-minded,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3B3297" w:rsidTr="00F849A1">
        <w:tc>
          <w:tcPr>
            <w:tcW w:w="4855" w:type="dxa"/>
          </w:tcPr>
          <w:p w:rsidR="00D8562A" w:rsidRPr="003B3297" w:rsidRDefault="00D8562A" w:rsidP="00F849A1">
            <w:pPr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3B3297" w:rsidRDefault="00D8562A" w:rsidP="00F849A1">
            <w:pPr>
              <w:tabs>
                <w:tab w:val="left" w:pos="656"/>
              </w:tabs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517713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517713">
              <w:rPr>
                <w:i/>
                <w:iCs/>
                <w:sz w:val="18"/>
                <w:szCs w:val="18"/>
              </w:rPr>
              <w:t xml:space="preserve">8. </w:t>
            </w:r>
            <w:r w:rsidR="00517713" w:rsidRPr="00517713">
              <w:rPr>
                <w:i/>
                <w:sz w:val="18"/>
                <w:szCs w:val="18"/>
              </w:rPr>
              <w:t>Support a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517713" w:rsidRDefault="00517713" w:rsidP="00517713">
            <w:pPr>
              <w:spacing w:line="252" w:lineRule="auto"/>
              <w:contextualSpacing/>
              <w:rPr>
                <w:i/>
                <w:iCs/>
                <w:sz w:val="18"/>
                <w:szCs w:val="18"/>
              </w:rPr>
            </w:pPr>
            <w:r w:rsidRPr="00517713">
              <w:rPr>
                <w:i/>
                <w:iCs/>
                <w:sz w:val="18"/>
                <w:szCs w:val="18"/>
              </w:rPr>
              <w:t xml:space="preserve">   9.  </w:t>
            </w:r>
            <w:r w:rsidRPr="00517713">
              <w:rPr>
                <w:i/>
                <w:sz w:val="18"/>
                <w:szCs w:val="18"/>
              </w:rPr>
              <w:t>Develop, enhance, and align business human resource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16" w:rsidRDefault="006E4216" w:rsidP="00F24EDF">
      <w:r>
        <w:separator/>
      </w:r>
    </w:p>
  </w:endnote>
  <w:endnote w:type="continuationSeparator" w:id="0">
    <w:p w:rsidR="006E4216" w:rsidRDefault="006E421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16" w:rsidRDefault="006E4216" w:rsidP="00F24EDF">
      <w:r>
        <w:separator/>
      </w:r>
    </w:p>
  </w:footnote>
  <w:footnote w:type="continuationSeparator" w:id="0">
    <w:p w:rsidR="006E4216" w:rsidRDefault="006E421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B2"/>
    <w:multiLevelType w:val="hybridMultilevel"/>
    <w:tmpl w:val="85908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E85F65"/>
    <w:multiLevelType w:val="hybridMultilevel"/>
    <w:tmpl w:val="552AB91C"/>
    <w:lvl w:ilvl="0" w:tplc="3CEA2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1562D"/>
    <w:multiLevelType w:val="hybridMultilevel"/>
    <w:tmpl w:val="77E4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DF04B7"/>
    <w:multiLevelType w:val="hybridMultilevel"/>
    <w:tmpl w:val="5924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7394"/>
    <w:multiLevelType w:val="hybridMultilevel"/>
    <w:tmpl w:val="96D88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EE1125"/>
    <w:multiLevelType w:val="hybridMultilevel"/>
    <w:tmpl w:val="E880F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A0820"/>
    <w:multiLevelType w:val="hybridMultilevel"/>
    <w:tmpl w:val="C09E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2DED"/>
    <w:multiLevelType w:val="hybridMultilevel"/>
    <w:tmpl w:val="ACD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422"/>
    <w:multiLevelType w:val="hybridMultilevel"/>
    <w:tmpl w:val="33349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046597"/>
    <w:multiLevelType w:val="hybridMultilevel"/>
    <w:tmpl w:val="F5C4F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D1039E"/>
    <w:multiLevelType w:val="hybridMultilevel"/>
    <w:tmpl w:val="DC3A1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7751A1"/>
    <w:multiLevelType w:val="hybridMultilevel"/>
    <w:tmpl w:val="BCA81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F4753E"/>
    <w:multiLevelType w:val="hybridMultilevel"/>
    <w:tmpl w:val="16227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352C1"/>
    <w:multiLevelType w:val="hybridMultilevel"/>
    <w:tmpl w:val="EDAED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7438EE"/>
    <w:multiLevelType w:val="hybridMultilevel"/>
    <w:tmpl w:val="6DC6C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087638"/>
    <w:multiLevelType w:val="hybridMultilevel"/>
    <w:tmpl w:val="29A4F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5D56"/>
    <w:multiLevelType w:val="hybridMultilevel"/>
    <w:tmpl w:val="0F3E2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ED130B"/>
    <w:multiLevelType w:val="hybridMultilevel"/>
    <w:tmpl w:val="C3A04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946B99"/>
    <w:multiLevelType w:val="hybridMultilevel"/>
    <w:tmpl w:val="2214A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548B7"/>
    <w:multiLevelType w:val="hybridMultilevel"/>
    <w:tmpl w:val="832CB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574507"/>
    <w:multiLevelType w:val="hybridMultilevel"/>
    <w:tmpl w:val="CBFE5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847588"/>
    <w:multiLevelType w:val="hybridMultilevel"/>
    <w:tmpl w:val="F852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B4B3B"/>
    <w:multiLevelType w:val="hybridMultilevel"/>
    <w:tmpl w:val="C61EF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87942"/>
    <w:multiLevelType w:val="hybridMultilevel"/>
    <w:tmpl w:val="63ECD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8B0681"/>
    <w:multiLevelType w:val="hybridMultilevel"/>
    <w:tmpl w:val="55A2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22324"/>
    <w:multiLevelType w:val="hybridMultilevel"/>
    <w:tmpl w:val="5BE03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F56062"/>
    <w:multiLevelType w:val="hybridMultilevel"/>
    <w:tmpl w:val="5F28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1AFB"/>
    <w:multiLevelType w:val="hybridMultilevel"/>
    <w:tmpl w:val="A32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4"/>
  </w:num>
  <w:num w:numId="4">
    <w:abstractNumId w:val="0"/>
  </w:num>
  <w:num w:numId="5">
    <w:abstractNumId w:val="25"/>
  </w:num>
  <w:num w:numId="6">
    <w:abstractNumId w:val="25"/>
  </w:num>
  <w:num w:numId="7">
    <w:abstractNumId w:val="0"/>
  </w:num>
  <w:num w:numId="8">
    <w:abstractNumId w:val="24"/>
  </w:num>
  <w:num w:numId="9">
    <w:abstractNumId w:val="8"/>
  </w:num>
  <w:num w:numId="10">
    <w:abstractNumId w:val="29"/>
  </w:num>
  <w:num w:numId="11">
    <w:abstractNumId w:val="31"/>
  </w:num>
  <w:num w:numId="12">
    <w:abstractNumId w:val="27"/>
  </w:num>
  <w:num w:numId="13">
    <w:abstractNumId w:val="11"/>
  </w:num>
  <w:num w:numId="14">
    <w:abstractNumId w:val="3"/>
  </w:num>
  <w:num w:numId="15">
    <w:abstractNumId w:val="35"/>
  </w:num>
  <w:num w:numId="16">
    <w:abstractNumId w:val="2"/>
  </w:num>
  <w:num w:numId="17">
    <w:abstractNumId w:val="10"/>
  </w:num>
  <w:num w:numId="18">
    <w:abstractNumId w:val="5"/>
  </w:num>
  <w:num w:numId="19">
    <w:abstractNumId w:val="32"/>
  </w:num>
  <w:num w:numId="20">
    <w:abstractNumId w:val="15"/>
  </w:num>
  <w:num w:numId="21">
    <w:abstractNumId w:val="13"/>
  </w:num>
  <w:num w:numId="22">
    <w:abstractNumId w:val="20"/>
  </w:num>
  <w:num w:numId="23">
    <w:abstractNumId w:val="18"/>
  </w:num>
  <w:num w:numId="24">
    <w:abstractNumId w:val="21"/>
  </w:num>
  <w:num w:numId="25">
    <w:abstractNumId w:val="22"/>
  </w:num>
  <w:num w:numId="26">
    <w:abstractNumId w:val="12"/>
  </w:num>
  <w:num w:numId="27">
    <w:abstractNumId w:val="26"/>
  </w:num>
  <w:num w:numId="28">
    <w:abstractNumId w:val="14"/>
  </w:num>
  <w:num w:numId="29">
    <w:abstractNumId w:val="9"/>
  </w:num>
  <w:num w:numId="30">
    <w:abstractNumId w:val="33"/>
  </w:num>
  <w:num w:numId="31">
    <w:abstractNumId w:val="30"/>
  </w:num>
  <w:num w:numId="32">
    <w:abstractNumId w:val="28"/>
  </w:num>
  <w:num w:numId="33">
    <w:abstractNumId w:val="6"/>
  </w:num>
  <w:num w:numId="34">
    <w:abstractNumId w:val="1"/>
  </w:num>
  <w:num w:numId="35">
    <w:abstractNumId w:val="16"/>
  </w:num>
  <w:num w:numId="36">
    <w:abstractNumId w:val="17"/>
  </w:num>
  <w:num w:numId="37">
    <w:abstractNumId w:val="23"/>
  </w:num>
  <w:num w:numId="3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47A05"/>
    <w:rsid w:val="00050384"/>
    <w:rsid w:val="00050A34"/>
    <w:rsid w:val="00051824"/>
    <w:rsid w:val="00054F47"/>
    <w:rsid w:val="00056A67"/>
    <w:rsid w:val="00056F48"/>
    <w:rsid w:val="0005722C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5F80"/>
    <w:rsid w:val="00076E5A"/>
    <w:rsid w:val="00081505"/>
    <w:rsid w:val="000820EE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0FF5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09A2"/>
    <w:rsid w:val="000E22FC"/>
    <w:rsid w:val="000E30CA"/>
    <w:rsid w:val="000E590B"/>
    <w:rsid w:val="000E79ED"/>
    <w:rsid w:val="000F14B5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65A40"/>
    <w:rsid w:val="001700EC"/>
    <w:rsid w:val="00170E65"/>
    <w:rsid w:val="00171A0F"/>
    <w:rsid w:val="00171DD3"/>
    <w:rsid w:val="00171DE4"/>
    <w:rsid w:val="00172333"/>
    <w:rsid w:val="001727AE"/>
    <w:rsid w:val="00173405"/>
    <w:rsid w:val="00173CF0"/>
    <w:rsid w:val="00176AAC"/>
    <w:rsid w:val="001811C1"/>
    <w:rsid w:val="00181409"/>
    <w:rsid w:val="00183032"/>
    <w:rsid w:val="00183EE2"/>
    <w:rsid w:val="0018465A"/>
    <w:rsid w:val="001867DB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4BA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42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0773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14E5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0B63"/>
    <w:rsid w:val="002717FC"/>
    <w:rsid w:val="00272E73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B04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7BC"/>
    <w:rsid w:val="002B5F26"/>
    <w:rsid w:val="002B654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863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2CAF"/>
    <w:rsid w:val="0036427E"/>
    <w:rsid w:val="0036438D"/>
    <w:rsid w:val="00364F61"/>
    <w:rsid w:val="0036531A"/>
    <w:rsid w:val="003655D3"/>
    <w:rsid w:val="00367720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297"/>
    <w:rsid w:val="003B3900"/>
    <w:rsid w:val="003B3968"/>
    <w:rsid w:val="003B462E"/>
    <w:rsid w:val="003B470E"/>
    <w:rsid w:val="003C02D2"/>
    <w:rsid w:val="003C1561"/>
    <w:rsid w:val="003C2030"/>
    <w:rsid w:val="003C21EE"/>
    <w:rsid w:val="003C4376"/>
    <w:rsid w:val="003C517E"/>
    <w:rsid w:val="003C77AC"/>
    <w:rsid w:val="003D1188"/>
    <w:rsid w:val="003D1D18"/>
    <w:rsid w:val="003D1DEA"/>
    <w:rsid w:val="003D2F7B"/>
    <w:rsid w:val="003D65BC"/>
    <w:rsid w:val="003E02B4"/>
    <w:rsid w:val="003E0497"/>
    <w:rsid w:val="003E4D90"/>
    <w:rsid w:val="003E560A"/>
    <w:rsid w:val="003F054B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3261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260F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E57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2C4"/>
    <w:rsid w:val="004E1F5C"/>
    <w:rsid w:val="004E4745"/>
    <w:rsid w:val="004E4A01"/>
    <w:rsid w:val="004E4B95"/>
    <w:rsid w:val="004E54BC"/>
    <w:rsid w:val="004E6D88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713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C7D89"/>
    <w:rsid w:val="005C7E09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1887"/>
    <w:rsid w:val="006128DA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0DF3"/>
    <w:rsid w:val="00634042"/>
    <w:rsid w:val="006345FF"/>
    <w:rsid w:val="00635644"/>
    <w:rsid w:val="006356B8"/>
    <w:rsid w:val="00635980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45A3"/>
    <w:rsid w:val="00655AE8"/>
    <w:rsid w:val="00660D2F"/>
    <w:rsid w:val="0066121E"/>
    <w:rsid w:val="0066192D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A01B6"/>
    <w:rsid w:val="006A23C9"/>
    <w:rsid w:val="006A4F06"/>
    <w:rsid w:val="006A52CD"/>
    <w:rsid w:val="006A604D"/>
    <w:rsid w:val="006A656F"/>
    <w:rsid w:val="006A68A4"/>
    <w:rsid w:val="006B0144"/>
    <w:rsid w:val="006B0E6F"/>
    <w:rsid w:val="006B2ECE"/>
    <w:rsid w:val="006B3C0A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ECD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4DA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0B7E"/>
    <w:rsid w:val="00731279"/>
    <w:rsid w:val="00731816"/>
    <w:rsid w:val="00732002"/>
    <w:rsid w:val="00732600"/>
    <w:rsid w:val="00734E2C"/>
    <w:rsid w:val="00735ABB"/>
    <w:rsid w:val="00736918"/>
    <w:rsid w:val="007379B0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1BF"/>
    <w:rsid w:val="00766C0F"/>
    <w:rsid w:val="00767B35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6D90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3F78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3C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D68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7D5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4F52"/>
    <w:rsid w:val="00850044"/>
    <w:rsid w:val="00850BDB"/>
    <w:rsid w:val="00850D37"/>
    <w:rsid w:val="00851523"/>
    <w:rsid w:val="00853BC8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390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1AF5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43C1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0F6E"/>
    <w:rsid w:val="00961AF7"/>
    <w:rsid w:val="009623BB"/>
    <w:rsid w:val="009628C7"/>
    <w:rsid w:val="00962C1E"/>
    <w:rsid w:val="00962C99"/>
    <w:rsid w:val="00963C0A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876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E75FD"/>
    <w:rsid w:val="009F0166"/>
    <w:rsid w:val="009F19F0"/>
    <w:rsid w:val="009F6197"/>
    <w:rsid w:val="00A01FD5"/>
    <w:rsid w:val="00A0311F"/>
    <w:rsid w:val="00A0378F"/>
    <w:rsid w:val="00A04EE4"/>
    <w:rsid w:val="00A05089"/>
    <w:rsid w:val="00A0577A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4EEB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222"/>
    <w:rsid w:val="00A65D6A"/>
    <w:rsid w:val="00A670C8"/>
    <w:rsid w:val="00A67D50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4C6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4F91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B4D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8C3"/>
    <w:rsid w:val="00AF3C66"/>
    <w:rsid w:val="00AF4135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229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FAF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5AC7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778F9"/>
    <w:rsid w:val="00B80FA0"/>
    <w:rsid w:val="00B81B45"/>
    <w:rsid w:val="00B81B50"/>
    <w:rsid w:val="00B82DB9"/>
    <w:rsid w:val="00B84166"/>
    <w:rsid w:val="00B844FF"/>
    <w:rsid w:val="00B84D09"/>
    <w:rsid w:val="00B85E11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36FC"/>
    <w:rsid w:val="00BE68B1"/>
    <w:rsid w:val="00BE7550"/>
    <w:rsid w:val="00BF2613"/>
    <w:rsid w:val="00BF3043"/>
    <w:rsid w:val="00BF3F56"/>
    <w:rsid w:val="00BF4C90"/>
    <w:rsid w:val="00BF7DF9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1FF9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4D1E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317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667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2481"/>
    <w:rsid w:val="00E13021"/>
    <w:rsid w:val="00E13A57"/>
    <w:rsid w:val="00E15E1C"/>
    <w:rsid w:val="00E1674E"/>
    <w:rsid w:val="00E16A54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3ABB"/>
    <w:rsid w:val="00E44F52"/>
    <w:rsid w:val="00E46DFB"/>
    <w:rsid w:val="00E46E2E"/>
    <w:rsid w:val="00E472A4"/>
    <w:rsid w:val="00E47672"/>
    <w:rsid w:val="00E47892"/>
    <w:rsid w:val="00E51186"/>
    <w:rsid w:val="00E51551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06CF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B9B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10CB"/>
    <w:rsid w:val="00F11F8A"/>
    <w:rsid w:val="00F1219B"/>
    <w:rsid w:val="00F1561E"/>
    <w:rsid w:val="00F1673F"/>
    <w:rsid w:val="00F17444"/>
    <w:rsid w:val="00F2010F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101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2796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498A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507C7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A026-D07C-458C-B5EF-2BFFF190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Cook, Brooke</cp:lastModifiedBy>
  <cp:revision>3</cp:revision>
  <cp:lastPrinted>2016-10-26T18:26:00Z</cp:lastPrinted>
  <dcterms:created xsi:type="dcterms:W3CDTF">2019-05-07T17:14:00Z</dcterms:created>
  <dcterms:modified xsi:type="dcterms:W3CDTF">2019-05-07T17:16:00Z</dcterms:modified>
</cp:coreProperties>
</file>