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Default="00615192">
      <w:pPr>
        <w:jc w:val="center"/>
        <w:rPr>
          <w:b/>
          <w:snapToGrid w:val="0"/>
        </w:rPr>
      </w:pPr>
      <w:r w:rsidRPr="00D8374C">
        <w:rPr>
          <w:b/>
          <w:snapToGrid w:val="0"/>
        </w:rPr>
        <w:t>COURSE SYLLABUS</w:t>
      </w:r>
    </w:p>
    <w:p w:rsidR="00CD368B" w:rsidRDefault="00CD368B" w:rsidP="00CD368B"/>
    <w:p w:rsidR="004C4C5D" w:rsidRPr="00D8374C" w:rsidRDefault="004C4C5D"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 xml:space="preserve">: </w:t>
      </w:r>
      <w:r w:rsidR="002D4CB8" w:rsidRPr="00D8374C">
        <w:rPr>
          <w:snapToGrid w:val="0"/>
        </w:rPr>
        <w:tab/>
      </w:r>
      <w:r w:rsidR="00954118">
        <w:rPr>
          <w:snapToGrid w:val="0"/>
        </w:rPr>
        <w:t>MLTR1922</w:t>
      </w:r>
    </w:p>
    <w:p w:rsidR="00615192" w:rsidRPr="00D8374C" w:rsidRDefault="00615192" w:rsidP="00070B27">
      <w:pPr>
        <w:ind w:left="2790" w:hanging="2070"/>
        <w:rPr>
          <w:snapToGrid w:val="0"/>
        </w:rPr>
      </w:pPr>
      <w:r w:rsidRPr="00D8374C">
        <w:rPr>
          <w:snapToGrid w:val="0"/>
          <w:u w:val="single"/>
        </w:rPr>
        <w:t>Course Title</w:t>
      </w:r>
      <w:r w:rsidR="008543F9" w:rsidRPr="00D8374C">
        <w:rPr>
          <w:snapToGrid w:val="0"/>
        </w:rPr>
        <w:t xml:space="preserve">:  </w:t>
      </w:r>
      <w:r w:rsidR="00070B27" w:rsidRPr="00D8374C">
        <w:rPr>
          <w:snapToGrid w:val="0"/>
        </w:rPr>
        <w:tab/>
      </w:r>
      <w:r w:rsidR="00954118">
        <w:rPr>
          <w:snapToGrid w:val="0"/>
        </w:rPr>
        <w:t xml:space="preserve">Transport, Handling, </w:t>
      </w:r>
      <w:r w:rsidR="00FB6A45">
        <w:rPr>
          <w:snapToGrid w:val="0"/>
        </w:rPr>
        <w:t>and</w:t>
      </w:r>
      <w:r w:rsidR="00954118">
        <w:rPr>
          <w:snapToGrid w:val="0"/>
        </w:rPr>
        <w:t xml:space="preserve"> Storage of Explosives Materials</w:t>
      </w:r>
    </w:p>
    <w:p w:rsidR="00615192" w:rsidRPr="00D8374C" w:rsidRDefault="00615192" w:rsidP="00070B27">
      <w:pPr>
        <w:tabs>
          <w:tab w:val="left" w:pos="2790"/>
        </w:tabs>
        <w:ind w:left="720"/>
        <w:rPr>
          <w:snapToGrid w:val="0"/>
        </w:rPr>
      </w:pPr>
      <w:r w:rsidRPr="00D8374C">
        <w:rPr>
          <w:snapToGrid w:val="0"/>
          <w:u w:val="single"/>
        </w:rPr>
        <w:t>Credit Hours</w:t>
      </w:r>
      <w:r w:rsidR="008543F9" w:rsidRPr="00D8374C">
        <w:rPr>
          <w:snapToGrid w:val="0"/>
        </w:rPr>
        <w:t xml:space="preserve">:  </w:t>
      </w:r>
      <w:r w:rsidR="00070B27" w:rsidRPr="00D8374C">
        <w:rPr>
          <w:snapToGrid w:val="0"/>
        </w:rPr>
        <w:tab/>
      </w:r>
      <w:r w:rsidR="00954118">
        <w:rPr>
          <w:snapToGrid w:val="0"/>
        </w:rPr>
        <w:t>3</w:t>
      </w:r>
    </w:p>
    <w:p w:rsidR="00615192" w:rsidRPr="00D8374C" w:rsidRDefault="00615192" w:rsidP="00070B27">
      <w:pPr>
        <w:tabs>
          <w:tab w:val="left" w:pos="2790"/>
        </w:tabs>
        <w:ind w:firstLine="720"/>
        <w:rPr>
          <w:snapToGrid w:val="0"/>
        </w:rPr>
      </w:pPr>
      <w:r w:rsidRPr="00D8374C">
        <w:rPr>
          <w:snapToGrid w:val="0"/>
          <w:u w:val="single"/>
        </w:rPr>
        <w:t>Prerequisites</w:t>
      </w:r>
      <w:r w:rsidR="00070B27" w:rsidRPr="00D8374C">
        <w:rPr>
          <w:snapToGrid w:val="0"/>
        </w:rPr>
        <w:t>:</w:t>
      </w:r>
      <w:r w:rsidR="00070B27" w:rsidRPr="00D8374C">
        <w:rPr>
          <w:snapToGrid w:val="0"/>
        </w:rPr>
        <w:tab/>
      </w:r>
      <w:r w:rsidR="00954118">
        <w:rPr>
          <w:snapToGrid w:val="0"/>
        </w:rPr>
        <w:t>None</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 xml:space="preserve">:  </w:t>
      </w:r>
      <w:r w:rsidR="00954118">
        <w:rPr>
          <w:snapToGrid w:val="0"/>
        </w:rPr>
        <w:t>Military Programs</w:t>
      </w:r>
    </w:p>
    <w:p w:rsidR="003B03AE" w:rsidRDefault="00615192" w:rsidP="003B03AE">
      <w:pPr>
        <w:ind w:left="2880" w:hanging="2160"/>
        <w:rPr>
          <w:snapToGrid w:val="0"/>
        </w:rPr>
      </w:pPr>
      <w:r w:rsidRPr="00D8374C">
        <w:rPr>
          <w:snapToGrid w:val="0"/>
          <w:u w:val="single"/>
        </w:rPr>
        <w:t>Course Description</w:t>
      </w:r>
      <w:r w:rsidR="008543F9" w:rsidRPr="00D8374C">
        <w:rPr>
          <w:snapToGrid w:val="0"/>
        </w:rPr>
        <w:t xml:space="preserve">:  </w:t>
      </w:r>
      <w:r w:rsidR="00954118">
        <w:rPr>
          <w:snapToGrid w:val="0"/>
        </w:rPr>
        <w:t>The purpose of this course is to provide the student with the</w:t>
      </w:r>
      <w:r w:rsidR="003B03AE">
        <w:rPr>
          <w:snapToGrid w:val="0"/>
        </w:rPr>
        <w:t xml:space="preserve"> </w:t>
      </w:r>
    </w:p>
    <w:p w:rsidR="003B03AE" w:rsidRDefault="00954118" w:rsidP="003B03AE">
      <w:pPr>
        <w:ind w:left="2880" w:hanging="2160"/>
        <w:rPr>
          <w:snapToGrid w:val="0"/>
        </w:rPr>
      </w:pPr>
      <w:r>
        <w:rPr>
          <w:snapToGrid w:val="0"/>
        </w:rPr>
        <w:t xml:space="preserve">information pertaining to the responsibilities of management of military munitions and </w:t>
      </w:r>
    </w:p>
    <w:p w:rsidR="003B03AE" w:rsidRDefault="00954118" w:rsidP="003B03AE">
      <w:pPr>
        <w:ind w:left="2880" w:hanging="2160"/>
        <w:rPr>
          <w:snapToGrid w:val="0"/>
        </w:rPr>
      </w:pPr>
      <w:r>
        <w:rPr>
          <w:snapToGrid w:val="0"/>
        </w:rPr>
        <w:t>explosive materials at the operational level workplace. It includes an overview for</w:t>
      </w:r>
    </w:p>
    <w:p w:rsidR="003B03AE" w:rsidRDefault="00954118" w:rsidP="003B03AE">
      <w:pPr>
        <w:ind w:left="2880" w:hanging="2160"/>
        <w:rPr>
          <w:snapToGrid w:val="0"/>
        </w:rPr>
      </w:pPr>
      <w:r>
        <w:rPr>
          <w:snapToGrid w:val="0"/>
        </w:rPr>
        <w:t xml:space="preserve">establishing accountability procedures, operational safety, and adequate record systems. </w:t>
      </w:r>
    </w:p>
    <w:p w:rsidR="003B03AE" w:rsidRDefault="00954118" w:rsidP="003B03AE">
      <w:pPr>
        <w:ind w:left="2880" w:hanging="2160"/>
        <w:rPr>
          <w:snapToGrid w:val="0"/>
        </w:rPr>
      </w:pPr>
      <w:r>
        <w:rPr>
          <w:snapToGrid w:val="0"/>
        </w:rPr>
        <w:t>Other areas to be stressed are the needs for</w:t>
      </w:r>
      <w:r w:rsidR="00955F87">
        <w:rPr>
          <w:snapToGrid w:val="0"/>
        </w:rPr>
        <w:t xml:space="preserve"> compliance to governmental regulations for</w:t>
      </w:r>
    </w:p>
    <w:p w:rsidR="00AD1199" w:rsidRPr="00D8374C" w:rsidRDefault="003B03AE" w:rsidP="003B03AE">
      <w:pPr>
        <w:ind w:left="2880" w:hanging="2160"/>
        <w:rPr>
          <w:snapToGrid w:val="0"/>
        </w:rPr>
      </w:pPr>
      <w:r>
        <w:rPr>
          <w:snapToGrid w:val="0"/>
        </w:rPr>
        <w:t>transportation</w:t>
      </w:r>
      <w:r w:rsidR="00955F87">
        <w:rPr>
          <w:snapToGrid w:val="0"/>
        </w:rPr>
        <w:t xml:space="preserve"> and effective hazardous materials communications standards.</w:t>
      </w:r>
    </w:p>
    <w:p w:rsidR="00615192" w:rsidRPr="00D8374C" w:rsidRDefault="00615192" w:rsidP="00700DEC">
      <w:pPr>
        <w:ind w:firstLine="720"/>
        <w:rPr>
          <w:snapToGrid w:val="0"/>
        </w:rPr>
      </w:pPr>
    </w:p>
    <w:p w:rsidR="00615192" w:rsidRPr="00D8374C" w:rsidRDefault="00615192">
      <w:pPr>
        <w:rPr>
          <w:snapToGrid w:val="0"/>
          <w:u w:val="single"/>
        </w:rPr>
      </w:pPr>
    </w:p>
    <w:p w:rsidR="00213C28" w:rsidRDefault="00213C28" w:rsidP="00E8001C">
      <w:pPr>
        <w:pStyle w:val="Heading1"/>
        <w:rPr>
          <w:b/>
        </w:rPr>
      </w:pPr>
      <w:r w:rsidRPr="00D8374C">
        <w:rPr>
          <w:b/>
        </w:rPr>
        <w:t>INSTRUCTOR INFORMATION</w:t>
      </w:r>
      <w:bookmarkStart w:id="0" w:name="_GoBack"/>
      <w:bookmarkEnd w:id="0"/>
    </w:p>
    <w:p w:rsidR="003912D2" w:rsidRDefault="003912D2" w:rsidP="003912D2">
      <w:pPr>
        <w:ind w:left="720"/>
      </w:pP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615192" w:rsidRPr="00D8374C" w:rsidRDefault="00615192">
      <w:pPr>
        <w:ind w:left="720"/>
        <w:rPr>
          <w:snapToGrid w:val="0"/>
        </w:rPr>
      </w:pPr>
    </w:p>
    <w:p w:rsidR="00615192" w:rsidRDefault="00955F87">
      <w:pPr>
        <w:ind w:left="720"/>
        <w:rPr>
          <w:snapToGrid w:val="0"/>
        </w:rPr>
      </w:pPr>
      <w:r w:rsidRPr="00955F87">
        <w:rPr>
          <w:snapToGrid w:val="0"/>
        </w:rPr>
        <w:lastRenderedPageBreak/>
        <w:t>This course serves as an introduction to unit management in the familiarization, transportation, safety, and usage of munitions</w:t>
      </w:r>
      <w:r>
        <w:rPr>
          <w:snapToGrid w:val="0"/>
        </w:rPr>
        <w:t xml:space="preserve"> and explosive materials at operator</w:t>
      </w:r>
      <w:r w:rsidRPr="00955F87">
        <w:rPr>
          <w:snapToGrid w:val="0"/>
        </w:rPr>
        <w:t xml:space="preserve"> level. The class provides the students the opportunity to gain knowledge in the requirements for communicating chemical and physical hazards that munitions and explosives possess during transportation, storage, and handling procedures and other various operations. The course materials follow the guidelines established by the U.S. Army Defense Ammunition Center</w:t>
      </w:r>
      <w:r>
        <w:rPr>
          <w:snapToGrid w:val="0"/>
        </w:rPr>
        <w:t>.</w:t>
      </w:r>
    </w:p>
    <w:p w:rsidR="00955F87" w:rsidRDefault="00955F87">
      <w:pPr>
        <w:ind w:left="720"/>
        <w:rPr>
          <w:snapToGrid w:val="0"/>
        </w:rPr>
      </w:pPr>
    </w:p>
    <w:p w:rsidR="00E9587B" w:rsidRPr="00D8374C" w:rsidRDefault="00E9587B">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615192" w:rsidRDefault="0077764C" w:rsidP="00AD1199">
      <w:pPr>
        <w:pStyle w:val="BodyTextIndent"/>
        <w:rPr>
          <w:color w:val="000000"/>
        </w:rPr>
      </w:pPr>
      <w:r w:rsidRPr="0077764C">
        <w:rPr>
          <w:color w:val="000000"/>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AD1199" w:rsidRPr="00D8374C" w:rsidRDefault="00AD1199" w:rsidP="00AD1199">
      <w:pPr>
        <w:pStyle w:val="BodyTextIndent"/>
      </w:pPr>
    </w:p>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DA5F73" w:rsidRPr="00D8374C" w:rsidRDefault="00DA5F73">
      <w:pPr>
        <w:ind w:left="144" w:firstLine="576"/>
      </w:pPr>
    </w:p>
    <w:p w:rsidR="007A3E8C" w:rsidRPr="00D8374C" w:rsidRDefault="00955F87" w:rsidP="000C3D82">
      <w:pPr>
        <w:numPr>
          <w:ilvl w:val="0"/>
          <w:numId w:val="2"/>
        </w:numPr>
        <w:rPr>
          <w:snapToGrid w:val="0"/>
        </w:rPr>
      </w:pPr>
      <w:r>
        <w:rPr>
          <w:snapToGrid w:val="0"/>
        </w:rPr>
        <w:t>Identify the characteristics of high and low explosives and the various chemical fillers.</w:t>
      </w:r>
    </w:p>
    <w:p w:rsidR="00750BA3" w:rsidRPr="00D8374C" w:rsidRDefault="00955F87" w:rsidP="000C3D82">
      <w:pPr>
        <w:numPr>
          <w:ilvl w:val="0"/>
          <w:numId w:val="5"/>
        </w:numPr>
        <w:rPr>
          <w:snapToGrid w:val="0"/>
        </w:rPr>
      </w:pPr>
      <w:r>
        <w:rPr>
          <w:snapToGrid w:val="0"/>
        </w:rPr>
        <w:t>Describe the characteristic and effects of high explosives.</w:t>
      </w:r>
    </w:p>
    <w:p w:rsidR="00750BA3" w:rsidRDefault="00955F87" w:rsidP="000C3D82">
      <w:pPr>
        <w:numPr>
          <w:ilvl w:val="0"/>
          <w:numId w:val="5"/>
        </w:numPr>
        <w:rPr>
          <w:snapToGrid w:val="0"/>
        </w:rPr>
      </w:pPr>
      <w:r>
        <w:rPr>
          <w:snapToGrid w:val="0"/>
        </w:rPr>
        <w:t>Describe the characteristics and uses of low explosives.</w:t>
      </w:r>
    </w:p>
    <w:p w:rsidR="00955F87" w:rsidRDefault="00955F87" w:rsidP="000C3D82">
      <w:pPr>
        <w:numPr>
          <w:ilvl w:val="0"/>
          <w:numId w:val="5"/>
        </w:numPr>
        <w:rPr>
          <w:snapToGrid w:val="0"/>
        </w:rPr>
      </w:pPr>
      <w:r>
        <w:rPr>
          <w:snapToGrid w:val="0"/>
        </w:rPr>
        <w:t>Identify the uses and characteristics of chemical fillers used in explosive materials.</w:t>
      </w:r>
    </w:p>
    <w:p w:rsidR="007A3E8C" w:rsidRPr="00D8374C" w:rsidRDefault="007A3E8C" w:rsidP="007A3E8C">
      <w:pPr>
        <w:ind w:left="1080"/>
        <w:rPr>
          <w:snapToGrid w:val="0"/>
        </w:rPr>
      </w:pPr>
    </w:p>
    <w:p w:rsidR="00257A37" w:rsidRPr="00D8374C" w:rsidRDefault="00955F87" w:rsidP="000C3D82">
      <w:pPr>
        <w:numPr>
          <w:ilvl w:val="0"/>
          <w:numId w:val="2"/>
        </w:numPr>
        <w:rPr>
          <w:snapToGrid w:val="0"/>
        </w:rPr>
      </w:pPr>
      <w:r>
        <w:rPr>
          <w:snapToGrid w:val="0"/>
        </w:rPr>
        <w:t xml:space="preserve">Identify the standards for recognizing and </w:t>
      </w:r>
      <w:r w:rsidR="009B18E5">
        <w:rPr>
          <w:snapToGrid w:val="0"/>
        </w:rPr>
        <w:t>communicating</w:t>
      </w:r>
      <w:r>
        <w:rPr>
          <w:snapToGrid w:val="0"/>
        </w:rPr>
        <w:t xml:space="preserve"> the potential hazards </w:t>
      </w:r>
      <w:r w:rsidR="009B18E5">
        <w:rPr>
          <w:snapToGrid w:val="0"/>
        </w:rPr>
        <w:t>of explosive materials for transportation and storage</w:t>
      </w:r>
    </w:p>
    <w:p w:rsidR="00257A37" w:rsidRPr="009B18E5" w:rsidRDefault="009B18E5" w:rsidP="000C3D82">
      <w:pPr>
        <w:numPr>
          <w:ilvl w:val="0"/>
          <w:numId w:val="6"/>
        </w:numPr>
        <w:rPr>
          <w:snapToGrid w:val="0"/>
        </w:rPr>
      </w:pPr>
      <w:r>
        <w:rPr>
          <w:snapToGrid w:val="0"/>
          <w:szCs w:val="24"/>
        </w:rPr>
        <w:t>Prepare the shipping documents used for transporting ammunition and explosives.</w:t>
      </w:r>
    </w:p>
    <w:p w:rsidR="009B18E5" w:rsidRPr="009B18E5" w:rsidRDefault="00700DEC" w:rsidP="000C3D82">
      <w:pPr>
        <w:numPr>
          <w:ilvl w:val="0"/>
          <w:numId w:val="6"/>
        </w:numPr>
        <w:rPr>
          <w:snapToGrid w:val="0"/>
        </w:rPr>
      </w:pPr>
      <w:r>
        <w:rPr>
          <w:snapToGrid w:val="0"/>
          <w:szCs w:val="24"/>
        </w:rPr>
        <w:t>I</w:t>
      </w:r>
      <w:r w:rsidR="009B18E5">
        <w:rPr>
          <w:snapToGrid w:val="0"/>
          <w:szCs w:val="24"/>
        </w:rPr>
        <w:t xml:space="preserve">dentify the markings </w:t>
      </w:r>
      <w:r>
        <w:rPr>
          <w:snapToGrid w:val="0"/>
          <w:szCs w:val="24"/>
        </w:rPr>
        <w:t xml:space="preserve">used </w:t>
      </w:r>
      <w:r w:rsidR="009B18E5">
        <w:rPr>
          <w:snapToGrid w:val="0"/>
          <w:szCs w:val="24"/>
        </w:rPr>
        <w:t>on package</w:t>
      </w:r>
      <w:r w:rsidR="00AF4649">
        <w:rPr>
          <w:snapToGrid w:val="0"/>
          <w:szCs w:val="24"/>
        </w:rPr>
        <w:t>s</w:t>
      </w:r>
      <w:r w:rsidR="009B18E5">
        <w:rPr>
          <w:snapToGrid w:val="0"/>
          <w:szCs w:val="24"/>
        </w:rPr>
        <w:t xml:space="preserve"> containing ammunition and explosives.</w:t>
      </w:r>
    </w:p>
    <w:p w:rsidR="009B18E5" w:rsidRPr="009B18E5" w:rsidRDefault="009B18E5" w:rsidP="000C3D82">
      <w:pPr>
        <w:numPr>
          <w:ilvl w:val="0"/>
          <w:numId w:val="6"/>
        </w:numPr>
        <w:rPr>
          <w:snapToGrid w:val="0"/>
        </w:rPr>
      </w:pPr>
      <w:r>
        <w:rPr>
          <w:snapToGrid w:val="0"/>
          <w:szCs w:val="24"/>
        </w:rPr>
        <w:t>Identify the hazard warning labels on package</w:t>
      </w:r>
      <w:r w:rsidR="00AF4649">
        <w:rPr>
          <w:snapToGrid w:val="0"/>
          <w:szCs w:val="24"/>
        </w:rPr>
        <w:t>s</w:t>
      </w:r>
      <w:r>
        <w:rPr>
          <w:snapToGrid w:val="0"/>
          <w:szCs w:val="24"/>
        </w:rPr>
        <w:t xml:space="preserve"> containing ammunition and explosives.</w:t>
      </w:r>
    </w:p>
    <w:p w:rsidR="00750BA3" w:rsidRPr="009B18E5" w:rsidRDefault="00700DEC" w:rsidP="009B18E5">
      <w:pPr>
        <w:numPr>
          <w:ilvl w:val="0"/>
          <w:numId w:val="6"/>
        </w:numPr>
        <w:rPr>
          <w:snapToGrid w:val="0"/>
        </w:rPr>
      </w:pPr>
      <w:r>
        <w:rPr>
          <w:snapToGrid w:val="0"/>
          <w:szCs w:val="24"/>
        </w:rPr>
        <w:t>S</w:t>
      </w:r>
      <w:r w:rsidR="009B18E5">
        <w:rPr>
          <w:snapToGrid w:val="0"/>
          <w:szCs w:val="24"/>
        </w:rPr>
        <w:t>elect the hazard warning placards for vehicles that is used to transport explosives and ammunition.</w:t>
      </w:r>
    </w:p>
    <w:p w:rsidR="007A3E8C" w:rsidRPr="00D8374C" w:rsidRDefault="007A3E8C" w:rsidP="007A3E8C">
      <w:pPr>
        <w:ind w:left="1080"/>
        <w:rPr>
          <w:snapToGrid w:val="0"/>
        </w:rPr>
      </w:pPr>
    </w:p>
    <w:p w:rsidR="007A3E8C" w:rsidRPr="00D8374C" w:rsidRDefault="00AD1199" w:rsidP="000C3D82">
      <w:pPr>
        <w:numPr>
          <w:ilvl w:val="0"/>
          <w:numId w:val="2"/>
        </w:numPr>
        <w:rPr>
          <w:snapToGrid w:val="0"/>
        </w:rPr>
      </w:pPr>
      <w:r>
        <w:rPr>
          <w:snapToGrid w:val="0"/>
        </w:rPr>
        <w:t xml:space="preserve"> </w:t>
      </w:r>
      <w:r w:rsidR="009B18E5">
        <w:rPr>
          <w:snapToGrid w:val="0"/>
        </w:rPr>
        <w:t>Discuss the safe</w:t>
      </w:r>
      <w:r w:rsidR="005E4BB5">
        <w:rPr>
          <w:snapToGrid w:val="0"/>
        </w:rPr>
        <w:t>ty practices that is required to be used in</w:t>
      </w:r>
      <w:r w:rsidR="009B18E5">
        <w:rPr>
          <w:snapToGrid w:val="0"/>
        </w:rPr>
        <w:t xml:space="preserve"> ammunition and explosive operations.</w:t>
      </w:r>
    </w:p>
    <w:p w:rsidR="00750BA3" w:rsidRPr="00D8374C" w:rsidRDefault="009B18E5" w:rsidP="000C3D82">
      <w:pPr>
        <w:numPr>
          <w:ilvl w:val="0"/>
          <w:numId w:val="7"/>
        </w:numPr>
        <w:rPr>
          <w:snapToGrid w:val="0"/>
        </w:rPr>
      </w:pPr>
      <w:r>
        <w:rPr>
          <w:snapToGrid w:val="0"/>
        </w:rPr>
        <w:t>Identify the actions that will be taken for a fire involving ammunition and explosives</w:t>
      </w:r>
    </w:p>
    <w:p w:rsidR="00750BA3" w:rsidRPr="00D8374C" w:rsidRDefault="005E4BB5" w:rsidP="000C3D82">
      <w:pPr>
        <w:numPr>
          <w:ilvl w:val="0"/>
          <w:numId w:val="7"/>
        </w:numPr>
        <w:rPr>
          <w:snapToGrid w:val="0"/>
        </w:rPr>
      </w:pPr>
      <w:r>
        <w:rPr>
          <w:snapToGrid w:val="0"/>
        </w:rPr>
        <w:t>Identify</w:t>
      </w:r>
      <w:r w:rsidR="009B18E5">
        <w:rPr>
          <w:snapToGrid w:val="0"/>
        </w:rPr>
        <w:t xml:space="preserve"> </w:t>
      </w:r>
      <w:r w:rsidR="00E50C2C">
        <w:rPr>
          <w:snapToGrid w:val="0"/>
        </w:rPr>
        <w:t>self-protection</w:t>
      </w:r>
      <w:r w:rsidR="009B18E5">
        <w:rPr>
          <w:snapToGrid w:val="0"/>
        </w:rPr>
        <w:t xml:space="preserve"> measure</w:t>
      </w:r>
      <w:r>
        <w:rPr>
          <w:snapToGrid w:val="0"/>
        </w:rPr>
        <w:t>s</w:t>
      </w:r>
      <w:r w:rsidR="009B18E5">
        <w:rPr>
          <w:snapToGrid w:val="0"/>
        </w:rPr>
        <w:t xml:space="preserve"> to</w:t>
      </w:r>
      <w:r>
        <w:rPr>
          <w:snapToGrid w:val="0"/>
        </w:rPr>
        <w:t xml:space="preserve"> prevent</w:t>
      </w:r>
      <w:r w:rsidR="009B18E5">
        <w:rPr>
          <w:snapToGrid w:val="0"/>
        </w:rPr>
        <w:t xml:space="preserve"> personal </w:t>
      </w:r>
      <w:r w:rsidR="00E50C2C">
        <w:rPr>
          <w:snapToGrid w:val="0"/>
        </w:rPr>
        <w:t>injuries.</w:t>
      </w:r>
    </w:p>
    <w:p w:rsidR="00750BA3" w:rsidRPr="00D8374C" w:rsidRDefault="00E50C2C" w:rsidP="000C3D82">
      <w:pPr>
        <w:numPr>
          <w:ilvl w:val="0"/>
          <w:numId w:val="7"/>
        </w:numPr>
        <w:rPr>
          <w:snapToGrid w:val="0"/>
        </w:rPr>
      </w:pPr>
      <w:r>
        <w:rPr>
          <w:snapToGrid w:val="0"/>
        </w:rPr>
        <w:t>Determine the segregation of explosives for storage and transport.</w:t>
      </w:r>
    </w:p>
    <w:p w:rsidR="00E50C2C" w:rsidRDefault="00E50C2C" w:rsidP="00E50C2C">
      <w:pPr>
        <w:ind w:left="1080"/>
        <w:rPr>
          <w:snapToGrid w:val="0"/>
        </w:rPr>
      </w:pPr>
    </w:p>
    <w:p w:rsidR="00E50C2C" w:rsidRDefault="00E50C2C" w:rsidP="00E50C2C">
      <w:pPr>
        <w:numPr>
          <w:ilvl w:val="0"/>
          <w:numId w:val="2"/>
        </w:numPr>
        <w:rPr>
          <w:snapToGrid w:val="0"/>
        </w:rPr>
      </w:pPr>
      <w:r>
        <w:rPr>
          <w:snapToGrid w:val="0"/>
        </w:rPr>
        <w:t>Discuss the procedures that are used to manage and account for the usage of ammunition and explosive materials.</w:t>
      </w:r>
    </w:p>
    <w:p w:rsidR="00700DEC" w:rsidRDefault="00700DEC" w:rsidP="00700DEC">
      <w:pPr>
        <w:numPr>
          <w:ilvl w:val="1"/>
          <w:numId w:val="2"/>
        </w:numPr>
        <w:rPr>
          <w:snapToGrid w:val="0"/>
        </w:rPr>
      </w:pPr>
      <w:r>
        <w:rPr>
          <w:snapToGrid w:val="0"/>
        </w:rPr>
        <w:t>Identify and prepare the forms used for tracking and maintaining accountability.</w:t>
      </w:r>
    </w:p>
    <w:p w:rsidR="00700DEC" w:rsidRDefault="00700DEC" w:rsidP="00700DEC">
      <w:pPr>
        <w:numPr>
          <w:ilvl w:val="1"/>
          <w:numId w:val="2"/>
        </w:numPr>
        <w:rPr>
          <w:snapToGrid w:val="0"/>
        </w:rPr>
      </w:pPr>
      <w:r>
        <w:rPr>
          <w:snapToGrid w:val="0"/>
        </w:rPr>
        <w:lastRenderedPageBreak/>
        <w:t>Identify the personnel who is responsible for the security and managing of explosives.</w:t>
      </w:r>
    </w:p>
    <w:p w:rsidR="00700DEC" w:rsidRDefault="00377BF6" w:rsidP="00700DEC">
      <w:pPr>
        <w:numPr>
          <w:ilvl w:val="1"/>
          <w:numId w:val="2"/>
        </w:numPr>
        <w:rPr>
          <w:snapToGrid w:val="0"/>
        </w:rPr>
      </w:pPr>
      <w:r>
        <w:rPr>
          <w:snapToGrid w:val="0"/>
        </w:rPr>
        <w:t>Describe</w:t>
      </w:r>
      <w:r w:rsidR="00700DEC">
        <w:rPr>
          <w:snapToGrid w:val="0"/>
        </w:rPr>
        <w:t xml:space="preserve"> the factors </w:t>
      </w:r>
      <w:r>
        <w:rPr>
          <w:snapToGrid w:val="0"/>
        </w:rPr>
        <w:t>required to</w:t>
      </w:r>
      <w:r w:rsidR="00700DEC">
        <w:rPr>
          <w:snapToGrid w:val="0"/>
        </w:rPr>
        <w:t xml:space="preserve"> request ammunition and explosives for operations.</w:t>
      </w:r>
    </w:p>
    <w:p w:rsidR="00615192" w:rsidRPr="00D8374C" w:rsidRDefault="00615192"/>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Default="00615192" w:rsidP="002D05C0">
      <w:pPr>
        <w:ind w:left="720"/>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3D3B17" w:rsidRPr="003D3B17" w:rsidRDefault="003D3B17" w:rsidP="003D3B17">
      <w:pPr>
        <w:ind w:left="720"/>
        <w:rPr>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3D3B17" w:rsidRPr="003D3B17" w:rsidRDefault="003D3B17" w:rsidP="003D3B17">
      <w:pPr>
        <w:ind w:left="720"/>
        <w:rPr>
          <w:snapToGrid w:val="0"/>
        </w:rPr>
      </w:pPr>
    </w:p>
    <w:p w:rsidR="00615192" w:rsidRPr="00D8374C" w:rsidRDefault="00615192" w:rsidP="00E8001C">
      <w:pPr>
        <w:pStyle w:val="Heading1"/>
        <w:rPr>
          <w:b/>
        </w:rPr>
      </w:pPr>
      <w:r w:rsidRPr="00D8374C">
        <w:rPr>
          <w:b/>
        </w:rPr>
        <w:t>METHODS OF INSTRUCTION AND EVALUATION</w:t>
      </w:r>
    </w:p>
    <w:p w:rsidR="003912D2" w:rsidRDefault="00615192" w:rsidP="003912D2">
      <w:pPr>
        <w:ind w:left="300"/>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210CB7" w:rsidRDefault="00210CB7">
      <w:pPr>
        <w:ind w:left="720"/>
        <w:rPr>
          <w:b/>
          <w:snapToGrid w:val="0"/>
        </w:rPr>
      </w:pPr>
    </w:p>
    <w:p w:rsidR="00E9587B" w:rsidRPr="00D8374C" w:rsidRDefault="00E9587B">
      <w:pPr>
        <w:ind w:left="720"/>
        <w:rPr>
          <w:b/>
          <w:snapToGrid w:val="0"/>
        </w:rPr>
      </w:pPr>
    </w:p>
    <w:p w:rsidR="00615192" w:rsidRDefault="00615192" w:rsidP="00E8001C">
      <w:pPr>
        <w:pStyle w:val="Heading1"/>
        <w:rPr>
          <w:b/>
        </w:rPr>
      </w:pPr>
      <w:r w:rsidRPr="00D8374C">
        <w:rPr>
          <w:b/>
        </w:rPr>
        <w:t>COURSE OUTLINE</w:t>
      </w:r>
    </w:p>
    <w:p w:rsidR="00BA3D6D" w:rsidRPr="00BA3D6D" w:rsidRDefault="00BA3D6D" w:rsidP="00BA3D6D"/>
    <w:sectPr w:rsidR="00BA3D6D" w:rsidRPr="00BA3D6D" w:rsidSect="00B83EC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905" w:rsidRDefault="009A4905" w:rsidP="001F0C6D">
      <w:r>
        <w:separator/>
      </w:r>
    </w:p>
  </w:endnote>
  <w:endnote w:type="continuationSeparator" w:id="0">
    <w:p w:rsidR="009A4905" w:rsidRDefault="009A4905"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905" w:rsidRDefault="009A4905" w:rsidP="001F0C6D">
      <w:r>
        <w:separator/>
      </w:r>
    </w:p>
  </w:footnote>
  <w:footnote w:type="continuationSeparator" w:id="0">
    <w:p w:rsidR="009A4905" w:rsidRDefault="009A4905"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6C226B"/>
    <w:multiLevelType w:val="hybridMultilevel"/>
    <w:tmpl w:val="30882318"/>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0F4E03"/>
    <w:rsid w:val="001513A3"/>
    <w:rsid w:val="001947B3"/>
    <w:rsid w:val="001D6D6D"/>
    <w:rsid w:val="001F0C6D"/>
    <w:rsid w:val="00206BE8"/>
    <w:rsid w:val="00210CB7"/>
    <w:rsid w:val="00213C28"/>
    <w:rsid w:val="00254B80"/>
    <w:rsid w:val="00257A37"/>
    <w:rsid w:val="00276D55"/>
    <w:rsid w:val="00291D89"/>
    <w:rsid w:val="002A0238"/>
    <w:rsid w:val="002D05C0"/>
    <w:rsid w:val="002D4CB8"/>
    <w:rsid w:val="002F0412"/>
    <w:rsid w:val="003317F0"/>
    <w:rsid w:val="00377BF6"/>
    <w:rsid w:val="003912D2"/>
    <w:rsid w:val="003B03AE"/>
    <w:rsid w:val="003B0C6F"/>
    <w:rsid w:val="003C0DA8"/>
    <w:rsid w:val="003D3B17"/>
    <w:rsid w:val="003F2F4B"/>
    <w:rsid w:val="00414281"/>
    <w:rsid w:val="00443B64"/>
    <w:rsid w:val="00464D5F"/>
    <w:rsid w:val="0049072A"/>
    <w:rsid w:val="004A21E1"/>
    <w:rsid w:val="004C4C5D"/>
    <w:rsid w:val="004D3042"/>
    <w:rsid w:val="00532E81"/>
    <w:rsid w:val="00537FC6"/>
    <w:rsid w:val="00552DDD"/>
    <w:rsid w:val="0055561E"/>
    <w:rsid w:val="005600B8"/>
    <w:rsid w:val="005E245A"/>
    <w:rsid w:val="005E4BB5"/>
    <w:rsid w:val="005F2DD6"/>
    <w:rsid w:val="00614502"/>
    <w:rsid w:val="00615192"/>
    <w:rsid w:val="00617349"/>
    <w:rsid w:val="00636C2B"/>
    <w:rsid w:val="00662E39"/>
    <w:rsid w:val="00694741"/>
    <w:rsid w:val="006B6846"/>
    <w:rsid w:val="006E2AAD"/>
    <w:rsid w:val="006F1DB4"/>
    <w:rsid w:val="00700DEC"/>
    <w:rsid w:val="007400A0"/>
    <w:rsid w:val="00750BA3"/>
    <w:rsid w:val="00760EB8"/>
    <w:rsid w:val="00775BFA"/>
    <w:rsid w:val="0077764C"/>
    <w:rsid w:val="007A3E8C"/>
    <w:rsid w:val="007B61D9"/>
    <w:rsid w:val="007F2F7F"/>
    <w:rsid w:val="007F33E0"/>
    <w:rsid w:val="00815123"/>
    <w:rsid w:val="00816CED"/>
    <w:rsid w:val="008252C1"/>
    <w:rsid w:val="00850B93"/>
    <w:rsid w:val="008543F9"/>
    <w:rsid w:val="00883039"/>
    <w:rsid w:val="008961B1"/>
    <w:rsid w:val="008C56D0"/>
    <w:rsid w:val="008E4FD5"/>
    <w:rsid w:val="009366AD"/>
    <w:rsid w:val="00954118"/>
    <w:rsid w:val="00955071"/>
    <w:rsid w:val="00955F87"/>
    <w:rsid w:val="00961DE0"/>
    <w:rsid w:val="00982BA1"/>
    <w:rsid w:val="00987573"/>
    <w:rsid w:val="009A4905"/>
    <w:rsid w:val="009B18E5"/>
    <w:rsid w:val="009B47C4"/>
    <w:rsid w:val="00A04049"/>
    <w:rsid w:val="00A07B75"/>
    <w:rsid w:val="00A17D39"/>
    <w:rsid w:val="00A54DBB"/>
    <w:rsid w:val="00A6028E"/>
    <w:rsid w:val="00A74C5E"/>
    <w:rsid w:val="00A84891"/>
    <w:rsid w:val="00AA0A2C"/>
    <w:rsid w:val="00AC504E"/>
    <w:rsid w:val="00AD1199"/>
    <w:rsid w:val="00AE045A"/>
    <w:rsid w:val="00AE4638"/>
    <w:rsid w:val="00AF4649"/>
    <w:rsid w:val="00AF7920"/>
    <w:rsid w:val="00B12E24"/>
    <w:rsid w:val="00B1412F"/>
    <w:rsid w:val="00B227DC"/>
    <w:rsid w:val="00B4729C"/>
    <w:rsid w:val="00B474D5"/>
    <w:rsid w:val="00B83EC5"/>
    <w:rsid w:val="00BA2956"/>
    <w:rsid w:val="00BA3D6D"/>
    <w:rsid w:val="00BD1166"/>
    <w:rsid w:val="00C03A69"/>
    <w:rsid w:val="00C17E42"/>
    <w:rsid w:val="00C25FF4"/>
    <w:rsid w:val="00C26A9D"/>
    <w:rsid w:val="00C27DAF"/>
    <w:rsid w:val="00C47038"/>
    <w:rsid w:val="00C61EB9"/>
    <w:rsid w:val="00CB3BBF"/>
    <w:rsid w:val="00CD368B"/>
    <w:rsid w:val="00CE645D"/>
    <w:rsid w:val="00CF2C7B"/>
    <w:rsid w:val="00CF4FA4"/>
    <w:rsid w:val="00D279A5"/>
    <w:rsid w:val="00D8374C"/>
    <w:rsid w:val="00DA5F73"/>
    <w:rsid w:val="00DE2F7C"/>
    <w:rsid w:val="00DE4008"/>
    <w:rsid w:val="00E04CC5"/>
    <w:rsid w:val="00E338E4"/>
    <w:rsid w:val="00E50BC5"/>
    <w:rsid w:val="00E50C2C"/>
    <w:rsid w:val="00E65461"/>
    <w:rsid w:val="00E8001C"/>
    <w:rsid w:val="00E84D05"/>
    <w:rsid w:val="00E9568E"/>
    <w:rsid w:val="00E9587B"/>
    <w:rsid w:val="00EB1801"/>
    <w:rsid w:val="00ED300D"/>
    <w:rsid w:val="00ED3232"/>
    <w:rsid w:val="00ED7CCD"/>
    <w:rsid w:val="00EF699F"/>
    <w:rsid w:val="00F20E73"/>
    <w:rsid w:val="00F3595D"/>
    <w:rsid w:val="00F467F9"/>
    <w:rsid w:val="00F60F8F"/>
    <w:rsid w:val="00F7716D"/>
    <w:rsid w:val="00F81BA2"/>
    <w:rsid w:val="00FB6A45"/>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463A712-5B83-4CD9-AA8B-773455ED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545E0F8-9E6B-463C-936A-557E3254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656</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4632</CharactersWithSpaces>
  <SharedDoc>false</SharedDoc>
  <HLinks>
    <vt:vector size="12" baseType="variant">
      <vt:variant>
        <vt:i4>1048610</vt:i4>
      </vt:variant>
      <vt:variant>
        <vt:i4>3</vt:i4>
      </vt:variant>
      <vt:variant>
        <vt:i4>0</vt:i4>
      </vt:variant>
      <vt:variant>
        <vt:i4>5</vt:i4>
      </vt:variant>
      <vt:variant>
        <vt:lpwstr>mailto:disabilityservices@bartonccc.edu</vt:lpwstr>
      </vt:variant>
      <vt:variant>
        <vt:lpwstr/>
      </vt:variant>
      <vt:variant>
        <vt:i4>1245218</vt:i4>
      </vt:variant>
      <vt:variant>
        <vt:i4>0</vt:i4>
      </vt:variant>
      <vt:variant>
        <vt:i4>0</vt:i4>
      </vt:variant>
      <vt:variant>
        <vt:i4>5</vt:i4>
      </vt:variant>
      <vt:variant>
        <vt:lpwstr>mailto:brownw@bartonccc.edu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Mebane, Terri</cp:lastModifiedBy>
  <cp:revision>13</cp:revision>
  <cp:lastPrinted>2014-12-05T17:25:00Z</cp:lastPrinted>
  <dcterms:created xsi:type="dcterms:W3CDTF">2016-08-16T16:05:00Z</dcterms:created>
  <dcterms:modified xsi:type="dcterms:W3CDTF">2016-08-31T16:52:00Z</dcterms:modified>
</cp:coreProperties>
</file>