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5F3" w:rsidRDefault="00A372D7" w:rsidP="00A372D7">
      <w:bookmarkStart w:id="0" w:name="_GoBack"/>
      <w:bookmarkEnd w:id="0"/>
      <w:r>
        <w:t xml:space="preserve">Recently, </w:t>
      </w:r>
      <w:r w:rsidR="004245F3">
        <w:t xml:space="preserve">Faculty and staff </w:t>
      </w:r>
      <w:r>
        <w:t>at Barton Community College gathered to discuss and evaluate the College’s ENDS at maturity scale planning meetings. Participants were asked</w:t>
      </w:r>
      <w:r w:rsidR="004245F3">
        <w:t xml:space="preserve"> to score where they felt Barton Community College was for each respective END and </w:t>
      </w:r>
      <w:r>
        <w:t xml:space="preserve">sub bullet. After assigning a score, comments were gathered regarding their determination as well as how to move to the next higher score. An analysis of the comments provided as feedback by faculty and staff at Barton Community College was conducted after the maturity scale planning meetings had occurred. The results are discussed below. </w:t>
      </w:r>
    </w:p>
    <w:p w:rsidR="00A372D7" w:rsidRDefault="00A372D7" w:rsidP="00A372D7"/>
    <w:p w:rsidR="00A372D7" w:rsidRPr="00A372D7" w:rsidRDefault="00A372D7" w:rsidP="00A372D7">
      <w:pPr>
        <w:rPr>
          <w:b/>
          <w:u w:val="single"/>
        </w:rPr>
      </w:pPr>
      <w:r w:rsidRPr="00A372D7">
        <w:rPr>
          <w:b/>
          <w:u w:val="single"/>
        </w:rPr>
        <w:t>Analysis of Aggregated Comments</w:t>
      </w:r>
    </w:p>
    <w:p w:rsidR="00A372D7" w:rsidRDefault="00A372D7" w:rsidP="00A372D7">
      <w:r>
        <w:t xml:space="preserve">Respondents </w:t>
      </w:r>
      <w:r w:rsidR="00862311">
        <w:t>could</w:t>
      </w:r>
      <w:r>
        <w:t xml:space="preserve"> comment on every score they assigned. However, many scores did not receive explanatory comments nor discussion for moving to the next higher score. The following comparison chart shows the number of comments regarding the assigned “where Barton is currently” score, the number of comments for “how to move to the next higher score” and the total number of scores recorded for each END.</w:t>
      </w:r>
    </w:p>
    <w:p w:rsidR="00A372D7" w:rsidRDefault="00B84284" w:rsidP="00A372D7">
      <w:pPr>
        <w:jc w:val="center"/>
      </w:pPr>
      <w:r>
        <w:rPr>
          <w:noProof/>
        </w:rPr>
        <w:drawing>
          <wp:inline distT="0" distB="0" distL="0" distR="0" wp14:anchorId="6504AC12" wp14:editId="56F0DA3F">
            <wp:extent cx="4038600" cy="2943225"/>
            <wp:effectExtent l="0" t="0" r="0" b="9525"/>
            <wp:docPr id="1" name="Chart 1">
              <a:extLst xmlns:a="http://schemas.openxmlformats.org/drawingml/2006/main">
                <a:ext uri="{FF2B5EF4-FFF2-40B4-BE49-F238E27FC236}">
                  <a16:creationId xmlns:a16="http://schemas.microsoft.com/office/drawing/2014/main" id="{C78C11BD-57B9-4AB8-9ABC-07059D482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372D7" w:rsidRDefault="009E1EBE" w:rsidP="00A372D7">
      <w:r>
        <w:t xml:space="preserve">The same information depicted in the </w:t>
      </w:r>
      <w:r w:rsidR="00862311">
        <w:t>chart</w:t>
      </w:r>
      <w:r>
        <w:t xml:space="preserve"> is also recorded in the following table.</w:t>
      </w:r>
    </w:p>
    <w:tbl>
      <w:tblPr>
        <w:tblStyle w:val="TableGrid"/>
        <w:tblW w:w="0" w:type="auto"/>
        <w:jc w:val="center"/>
        <w:tblLook w:val="04A0" w:firstRow="1" w:lastRow="0" w:firstColumn="1" w:lastColumn="0" w:noHBand="0" w:noVBand="1"/>
      </w:tblPr>
      <w:tblGrid>
        <w:gridCol w:w="1065"/>
        <w:gridCol w:w="1080"/>
        <w:gridCol w:w="1080"/>
        <w:gridCol w:w="1080"/>
      </w:tblGrid>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 </w:t>
            </w:r>
          </w:p>
        </w:tc>
        <w:tc>
          <w:tcPr>
            <w:tcW w:w="1080" w:type="dxa"/>
            <w:noWrap/>
            <w:vAlign w:val="center"/>
            <w:hideMark/>
          </w:tcPr>
          <w:p w:rsidR="00225C0A" w:rsidRDefault="00225C0A" w:rsidP="00225C0A">
            <w:pPr>
              <w:jc w:val="center"/>
              <w:rPr>
                <w:rFonts w:ascii="Calibri" w:hAnsi="Calibri"/>
                <w:b/>
                <w:bCs/>
                <w:color w:val="000000"/>
              </w:rPr>
            </w:pPr>
            <w:r>
              <w:rPr>
                <w:rFonts w:ascii="Calibri" w:hAnsi="Calibri"/>
                <w:b/>
                <w:bCs/>
                <w:color w:val="000000"/>
              </w:rPr>
              <w:t>Where</w:t>
            </w:r>
          </w:p>
        </w:tc>
        <w:tc>
          <w:tcPr>
            <w:tcW w:w="1080" w:type="dxa"/>
            <w:noWrap/>
            <w:vAlign w:val="center"/>
            <w:hideMark/>
          </w:tcPr>
          <w:p w:rsidR="00225C0A" w:rsidRDefault="00225C0A" w:rsidP="00225C0A">
            <w:pPr>
              <w:jc w:val="center"/>
              <w:rPr>
                <w:rFonts w:ascii="Calibri" w:hAnsi="Calibri"/>
                <w:b/>
                <w:bCs/>
                <w:color w:val="000000"/>
              </w:rPr>
            </w:pPr>
            <w:r>
              <w:rPr>
                <w:rFonts w:ascii="Calibri" w:hAnsi="Calibri"/>
                <w:b/>
                <w:bCs/>
                <w:color w:val="000000"/>
              </w:rPr>
              <w:t>Move</w:t>
            </w:r>
          </w:p>
        </w:tc>
        <w:tc>
          <w:tcPr>
            <w:tcW w:w="1080" w:type="dxa"/>
            <w:noWrap/>
            <w:vAlign w:val="center"/>
            <w:hideMark/>
          </w:tcPr>
          <w:p w:rsidR="00225C0A" w:rsidRDefault="00225C0A" w:rsidP="00225C0A">
            <w:pPr>
              <w:jc w:val="center"/>
              <w:rPr>
                <w:rFonts w:ascii="Calibri" w:hAnsi="Calibri"/>
                <w:b/>
                <w:bCs/>
                <w:color w:val="000000"/>
              </w:rPr>
            </w:pPr>
            <w:r>
              <w:rPr>
                <w:rFonts w:ascii="Calibri" w:hAnsi="Calibri"/>
                <w:b/>
                <w:bCs/>
                <w:color w:val="000000"/>
              </w:rPr>
              <w:t>Possible</w:t>
            </w:r>
          </w:p>
        </w:tc>
      </w:tr>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End 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122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111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389</w:t>
            </w:r>
          </w:p>
        </w:tc>
      </w:tr>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End 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46</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64</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258</w:t>
            </w:r>
          </w:p>
        </w:tc>
      </w:tr>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End 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61</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84</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360</w:t>
            </w:r>
          </w:p>
        </w:tc>
      </w:tr>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End 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59</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55</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313</w:t>
            </w:r>
          </w:p>
        </w:tc>
      </w:tr>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End 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31</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37</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315</w:t>
            </w:r>
          </w:p>
        </w:tc>
      </w:tr>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End 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11</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23</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302</w:t>
            </w:r>
          </w:p>
        </w:tc>
      </w:tr>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End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314</w:t>
            </w:r>
          </w:p>
        </w:tc>
      </w:tr>
      <w:tr w:rsidR="00225C0A" w:rsidRPr="009E1EBE" w:rsidTr="00681707">
        <w:trPr>
          <w:trHeight w:val="315"/>
          <w:jc w:val="center"/>
        </w:trPr>
        <w:tc>
          <w:tcPr>
            <w:tcW w:w="1065" w:type="dxa"/>
            <w:noWrap/>
            <w:vAlign w:val="bottom"/>
            <w:hideMark/>
          </w:tcPr>
          <w:p w:rsidR="00225C0A" w:rsidRDefault="00225C0A" w:rsidP="00225C0A">
            <w:pPr>
              <w:rPr>
                <w:rFonts w:ascii="Calibri" w:hAnsi="Calibri"/>
                <w:color w:val="000000"/>
              </w:rPr>
            </w:pPr>
            <w:r>
              <w:rPr>
                <w:rFonts w:ascii="Calibri" w:hAnsi="Calibri"/>
                <w:color w:val="000000"/>
              </w:rPr>
              <w:t>End 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13</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11</w:t>
            </w:r>
          </w:p>
        </w:tc>
        <w:tc>
          <w:tcPr>
            <w:tcW w:w="1080" w:type="dxa"/>
            <w:tcBorders>
              <w:top w:val="nil"/>
              <w:left w:val="nil"/>
              <w:bottom w:val="single" w:sz="4" w:space="0" w:color="auto"/>
              <w:right w:val="single" w:sz="4" w:space="0" w:color="auto"/>
            </w:tcBorders>
            <w:shd w:val="clear" w:color="auto" w:fill="auto"/>
            <w:noWrap/>
            <w:vAlign w:val="center"/>
            <w:hideMark/>
          </w:tcPr>
          <w:p w:rsidR="00225C0A" w:rsidRDefault="00225C0A" w:rsidP="00225C0A">
            <w:pPr>
              <w:jc w:val="center"/>
              <w:rPr>
                <w:rFonts w:ascii="Calibri" w:hAnsi="Calibri"/>
                <w:color w:val="000000"/>
              </w:rPr>
            </w:pPr>
            <w:r>
              <w:rPr>
                <w:rFonts w:ascii="Calibri" w:hAnsi="Calibri"/>
                <w:color w:val="000000"/>
              </w:rPr>
              <w:t>133</w:t>
            </w:r>
          </w:p>
        </w:tc>
      </w:tr>
    </w:tbl>
    <w:p w:rsidR="009E1EBE" w:rsidRDefault="009E1EBE" w:rsidP="00A372D7"/>
    <w:p w:rsidR="009E1EBE" w:rsidRDefault="009E1EBE" w:rsidP="00A372D7">
      <w:r>
        <w:lastRenderedPageBreak/>
        <w:t xml:space="preserve">Both of these resources reveal that the faculty and staff did not have much feedback to provide. </w:t>
      </w:r>
      <w:r w:rsidR="0032547D">
        <w:t xml:space="preserve">However, the feedback provided does contain valuable insight and themes. </w:t>
      </w:r>
    </w:p>
    <w:p w:rsidR="00AD5C0E" w:rsidRDefault="00AD5C0E" w:rsidP="00A372D7"/>
    <w:p w:rsidR="00AD5C0E" w:rsidRDefault="0032547D" w:rsidP="00A372D7">
      <w:r>
        <w:t>The</w:t>
      </w:r>
      <w:r w:rsidR="00862311">
        <w:t>ir</w:t>
      </w:r>
      <w:r>
        <w:t xml:space="preserve"> feedback was broken down into individual words and </w:t>
      </w:r>
      <w:r w:rsidR="00AD5C0E">
        <w:t xml:space="preserve">stopwords were removed. Stopwords provide virtually no value and common examples include “the” and “an.” </w:t>
      </w:r>
      <w:r w:rsidR="00862311">
        <w:t>W</w:t>
      </w:r>
      <w:r w:rsidR="00AD5C0E">
        <w:t xml:space="preserve">ord frequency </w:t>
      </w:r>
      <w:r w:rsidR="00862311">
        <w:t xml:space="preserve">analytics </w:t>
      </w:r>
      <w:r w:rsidR="00AD5C0E">
        <w:t xml:space="preserve">were conducted </w:t>
      </w:r>
      <w:r w:rsidR="00862311">
        <w:t>to</w:t>
      </w:r>
      <w:r w:rsidR="00AD5C0E">
        <w:t xml:space="preserve"> identify the most commonly used words by respondents. “Student” was utilized more than any other word. “Skill”, “survey”, “essential”, and “work” made up the remaining five most utilized words. Other notable words include “advisor” and “needed.” </w:t>
      </w:r>
      <w:r w:rsidR="00862311">
        <w:t>T</w:t>
      </w:r>
      <w:r w:rsidR="00AD5C0E">
        <w:t xml:space="preserve">he frequencies </w:t>
      </w:r>
      <w:r w:rsidR="00862311">
        <w:t xml:space="preserve">provide </w:t>
      </w:r>
      <w:r w:rsidR="00AD5C0E">
        <w:t xml:space="preserve">insight regarding </w:t>
      </w:r>
      <w:r w:rsidR="00862311">
        <w:t xml:space="preserve">the overall focus of the comments, which was </w:t>
      </w:r>
      <w:r w:rsidR="00AD5C0E">
        <w:t xml:space="preserve">a student orientation with a focus on essential skills, advisement, and measuring outcomes.    </w:t>
      </w:r>
    </w:p>
    <w:p w:rsidR="00AD5C0E" w:rsidRPr="00665E09" w:rsidRDefault="00AD5C0E" w:rsidP="00A372D7">
      <w:pPr>
        <w:rPr>
          <w:sz w:val="16"/>
          <w:szCs w:val="16"/>
        </w:rPr>
      </w:pPr>
    </w:p>
    <w:p w:rsidR="0032547D" w:rsidRDefault="00AD5C0E" w:rsidP="00A372D7">
      <w:r>
        <w:t xml:space="preserve">The 50 most commonly utilized words are shown in the following chart. </w:t>
      </w:r>
    </w:p>
    <w:p w:rsidR="00AD5C0E" w:rsidRDefault="009D0753" w:rsidP="00F822F0">
      <w:pPr>
        <w:ind w:left="-630"/>
      </w:pPr>
      <w:r>
        <w:rPr>
          <w:noProof/>
        </w:rPr>
        <mc:AlternateContent>
          <mc:Choice Requires="wps">
            <w:drawing>
              <wp:anchor distT="0" distB="0" distL="114300" distR="114300" simplePos="0" relativeHeight="251659264" behindDoc="0" locked="0" layoutInCell="1" allowOverlap="1">
                <wp:simplePos x="0" y="0"/>
                <wp:positionH relativeFrom="margin">
                  <wp:posOffset>3800475</wp:posOffset>
                </wp:positionH>
                <wp:positionV relativeFrom="paragraph">
                  <wp:posOffset>323850</wp:posOffset>
                </wp:positionV>
                <wp:extent cx="1602029" cy="1382573"/>
                <wp:effectExtent l="57150" t="57150" r="55880" b="46355"/>
                <wp:wrapNone/>
                <wp:docPr id="9" name="Rounded Rectangle 9"/>
                <wp:cNvGraphicFramePr/>
                <a:graphic xmlns:a="http://schemas.openxmlformats.org/drawingml/2006/main">
                  <a:graphicData uri="http://schemas.microsoft.com/office/word/2010/wordprocessingShape">
                    <wps:wsp>
                      <wps:cNvSpPr/>
                      <wps:spPr>
                        <a:xfrm>
                          <a:off x="0" y="0"/>
                          <a:ext cx="1602029" cy="1382573"/>
                        </a:xfrm>
                        <a:prstGeom prst="roundRect">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tbl>
                            <w:tblPr>
                              <w:tblW w:w="1920" w:type="dxa"/>
                              <w:tblLook w:val="04A0" w:firstRow="1" w:lastRow="0" w:firstColumn="1" w:lastColumn="0" w:noHBand="0" w:noVBand="1"/>
                            </w:tblPr>
                            <w:tblGrid>
                              <w:gridCol w:w="986"/>
                              <w:gridCol w:w="960"/>
                            </w:tblGrid>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b/>
                                      <w:color w:val="FFFFFF" w:themeColor="background1"/>
                                      <w:u w:val="single"/>
                                    </w:rPr>
                                  </w:pPr>
                                  <w:r w:rsidRPr="00665E09">
                                    <w:rPr>
                                      <w:rFonts w:ascii="Calibri" w:eastAsia="Times New Roman" w:hAnsi="Calibri" w:cs="Times New Roman"/>
                                      <w:b/>
                                      <w:color w:val="FFFFFF" w:themeColor="background1"/>
                                      <w:u w:val="single"/>
                                    </w:rPr>
                                    <w:t>Word</w:t>
                                  </w:r>
                                </w:p>
                              </w:tc>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b/>
                                      <w:color w:val="FFFFFF" w:themeColor="background1"/>
                                      <w:u w:val="single"/>
                                    </w:rPr>
                                  </w:pPr>
                                  <w:r w:rsidRPr="00665E09">
                                    <w:rPr>
                                      <w:rFonts w:ascii="Calibri" w:eastAsia="Times New Roman" w:hAnsi="Calibri" w:cs="Times New Roman"/>
                                      <w:b/>
                                      <w:color w:val="FFFFFF" w:themeColor="background1"/>
                                      <w:u w:val="single"/>
                                    </w:rPr>
                                    <w:t>Count</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student</w:t>
                                  </w:r>
                                </w:p>
                              </w:tc>
                              <w:tc>
                                <w:tcPr>
                                  <w:tcW w:w="960" w:type="dxa"/>
                                  <w:tcBorders>
                                    <w:top w:val="nil"/>
                                    <w:left w:val="nil"/>
                                    <w:bottom w:val="nil"/>
                                    <w:right w:val="nil"/>
                                  </w:tcBorders>
                                  <w:shd w:val="clear" w:color="auto" w:fill="auto"/>
                                  <w:noWrap/>
                                  <w:vAlign w:val="bottom"/>
                                  <w:hideMark/>
                                </w:tcPr>
                                <w:p w:rsidR="00665E09" w:rsidRPr="00665E09" w:rsidRDefault="009D0753" w:rsidP="00665E09">
                                  <w:pPr>
                                    <w:spacing w:after="0" w:line="240" w:lineRule="auto"/>
                                    <w:jc w:val="center"/>
                                    <w:rPr>
                                      <w:rFonts w:ascii="Calibri" w:eastAsia="Times New Roman" w:hAnsi="Calibri" w:cs="Times New Roman"/>
                                      <w:color w:val="FFFFFF" w:themeColor="background1"/>
                                    </w:rPr>
                                  </w:pPr>
                                  <w:r>
                                    <w:rPr>
                                      <w:rFonts w:ascii="Calibri" w:eastAsia="Times New Roman" w:hAnsi="Calibri" w:cs="Times New Roman"/>
                                      <w:color w:val="FFFFFF" w:themeColor="background1"/>
                                    </w:rPr>
                                    <w:t>221</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need</w:t>
                                  </w:r>
                                </w:p>
                              </w:tc>
                              <w:tc>
                                <w:tcPr>
                                  <w:tcW w:w="960" w:type="dxa"/>
                                  <w:tcBorders>
                                    <w:top w:val="nil"/>
                                    <w:left w:val="nil"/>
                                    <w:bottom w:val="nil"/>
                                    <w:right w:val="nil"/>
                                  </w:tcBorders>
                                  <w:shd w:val="clear" w:color="auto" w:fill="auto"/>
                                  <w:noWrap/>
                                  <w:vAlign w:val="bottom"/>
                                  <w:hideMark/>
                                </w:tcPr>
                                <w:p w:rsidR="00665E09" w:rsidRPr="00665E09" w:rsidRDefault="009D0753" w:rsidP="00665E09">
                                  <w:pPr>
                                    <w:spacing w:after="0" w:line="240" w:lineRule="auto"/>
                                    <w:jc w:val="center"/>
                                    <w:rPr>
                                      <w:rFonts w:ascii="Calibri" w:eastAsia="Times New Roman" w:hAnsi="Calibri" w:cs="Times New Roman"/>
                                      <w:color w:val="FFFFFF" w:themeColor="background1"/>
                                    </w:rPr>
                                  </w:pPr>
                                  <w:r>
                                    <w:rPr>
                                      <w:rFonts w:ascii="Calibri" w:eastAsia="Times New Roman" w:hAnsi="Calibri" w:cs="Times New Roman"/>
                                      <w:color w:val="FFFFFF" w:themeColor="background1"/>
                                    </w:rPr>
                                    <w:t>102</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skill</w:t>
                                  </w:r>
                                </w:p>
                              </w:tc>
                              <w:tc>
                                <w:tcPr>
                                  <w:tcW w:w="960" w:type="dxa"/>
                                  <w:tcBorders>
                                    <w:top w:val="nil"/>
                                    <w:left w:val="nil"/>
                                    <w:bottom w:val="nil"/>
                                    <w:right w:val="nil"/>
                                  </w:tcBorders>
                                  <w:shd w:val="clear" w:color="auto" w:fill="auto"/>
                                  <w:noWrap/>
                                  <w:vAlign w:val="bottom"/>
                                  <w:hideMark/>
                                </w:tcPr>
                                <w:p w:rsidR="00665E09" w:rsidRPr="00665E09" w:rsidRDefault="009D0753" w:rsidP="00665E09">
                                  <w:pPr>
                                    <w:spacing w:after="0" w:line="240" w:lineRule="auto"/>
                                    <w:jc w:val="center"/>
                                    <w:rPr>
                                      <w:rFonts w:ascii="Calibri" w:eastAsia="Times New Roman" w:hAnsi="Calibri" w:cs="Times New Roman"/>
                                      <w:color w:val="FFFFFF" w:themeColor="background1"/>
                                    </w:rPr>
                                  </w:pPr>
                                  <w:r>
                                    <w:rPr>
                                      <w:rFonts w:ascii="Calibri" w:eastAsia="Times New Roman" w:hAnsi="Calibri" w:cs="Times New Roman"/>
                                      <w:color w:val="FFFFFF" w:themeColor="background1"/>
                                    </w:rPr>
                                    <w:t>90</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program</w:t>
                                  </w:r>
                                </w:p>
                              </w:tc>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5</w:t>
                                  </w:r>
                                  <w:r w:rsidR="009D0753">
                                    <w:rPr>
                                      <w:rFonts w:ascii="Calibri" w:eastAsia="Times New Roman" w:hAnsi="Calibri" w:cs="Times New Roman"/>
                                      <w:color w:val="FFFFFF" w:themeColor="background1"/>
                                    </w:rPr>
                                    <w:t>9</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survey</w:t>
                                  </w:r>
                                </w:p>
                              </w:tc>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4</w:t>
                                  </w:r>
                                  <w:r w:rsidR="009D0753">
                                    <w:rPr>
                                      <w:rFonts w:ascii="Calibri" w:eastAsia="Times New Roman" w:hAnsi="Calibri" w:cs="Times New Roman"/>
                                      <w:color w:val="FFFFFF" w:themeColor="background1"/>
                                    </w:rPr>
                                    <w:t>3</w:t>
                                  </w:r>
                                </w:p>
                              </w:tc>
                            </w:tr>
                          </w:tbl>
                          <w:p w:rsidR="00665E09" w:rsidRDefault="00665E09" w:rsidP="00665E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left:0;text-align:left;margin-left:299.25pt;margin-top:25.5pt;width:126.15pt;height:10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" fillcolor="#4472c4 [3204]" strokecolor="#1f3763 [1604]" strokeweight="1pt">
                <v:stroke joinstyle="miter"/>
                <v:textbox>
                  <w:txbxContent>
                    <w:tbl>
                      <w:tblPr>
                        <w:tblW w:w="1920" w:type="dxa"/>
                        <w:tblLook w:val="04A0" w:firstRow="1" w:lastRow="0" w:firstColumn="1" w:lastColumn="0" w:noHBand="0" w:noVBand="1"/>
                      </w:tblPr>
                      <w:tblGrid>
                        <w:gridCol w:w="986"/>
                        <w:gridCol w:w="960"/>
                      </w:tblGrid>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b/>
                                <w:color w:val="FFFFFF" w:themeColor="background1"/>
                                <w:u w:val="single"/>
                              </w:rPr>
                            </w:pPr>
                            <w:r w:rsidRPr="00665E09">
                              <w:rPr>
                                <w:rFonts w:ascii="Calibri" w:eastAsia="Times New Roman" w:hAnsi="Calibri" w:cs="Times New Roman"/>
                                <w:b/>
                                <w:color w:val="FFFFFF" w:themeColor="background1"/>
                                <w:u w:val="single"/>
                              </w:rPr>
                              <w:t>Word</w:t>
                            </w:r>
                          </w:p>
                        </w:tc>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b/>
                                <w:color w:val="FFFFFF" w:themeColor="background1"/>
                                <w:u w:val="single"/>
                              </w:rPr>
                            </w:pPr>
                            <w:r w:rsidRPr="00665E09">
                              <w:rPr>
                                <w:rFonts w:ascii="Calibri" w:eastAsia="Times New Roman" w:hAnsi="Calibri" w:cs="Times New Roman"/>
                                <w:b/>
                                <w:color w:val="FFFFFF" w:themeColor="background1"/>
                                <w:u w:val="single"/>
                              </w:rPr>
                              <w:t>Count</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student</w:t>
                            </w:r>
                          </w:p>
                        </w:tc>
                        <w:tc>
                          <w:tcPr>
                            <w:tcW w:w="960" w:type="dxa"/>
                            <w:tcBorders>
                              <w:top w:val="nil"/>
                              <w:left w:val="nil"/>
                              <w:bottom w:val="nil"/>
                              <w:right w:val="nil"/>
                            </w:tcBorders>
                            <w:shd w:val="clear" w:color="auto" w:fill="auto"/>
                            <w:noWrap/>
                            <w:vAlign w:val="bottom"/>
                            <w:hideMark/>
                          </w:tcPr>
                          <w:p w:rsidR="00665E09" w:rsidRPr="00665E09" w:rsidRDefault="009D0753" w:rsidP="00665E09">
                            <w:pPr>
                              <w:spacing w:after="0" w:line="240" w:lineRule="auto"/>
                              <w:jc w:val="center"/>
                              <w:rPr>
                                <w:rFonts w:ascii="Calibri" w:eastAsia="Times New Roman" w:hAnsi="Calibri" w:cs="Times New Roman"/>
                                <w:color w:val="FFFFFF" w:themeColor="background1"/>
                              </w:rPr>
                            </w:pPr>
                            <w:r>
                              <w:rPr>
                                <w:rFonts w:ascii="Calibri" w:eastAsia="Times New Roman" w:hAnsi="Calibri" w:cs="Times New Roman"/>
                                <w:color w:val="FFFFFF" w:themeColor="background1"/>
                              </w:rPr>
                              <w:t>221</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need</w:t>
                            </w:r>
                          </w:p>
                        </w:tc>
                        <w:tc>
                          <w:tcPr>
                            <w:tcW w:w="960" w:type="dxa"/>
                            <w:tcBorders>
                              <w:top w:val="nil"/>
                              <w:left w:val="nil"/>
                              <w:bottom w:val="nil"/>
                              <w:right w:val="nil"/>
                            </w:tcBorders>
                            <w:shd w:val="clear" w:color="auto" w:fill="auto"/>
                            <w:noWrap/>
                            <w:vAlign w:val="bottom"/>
                            <w:hideMark/>
                          </w:tcPr>
                          <w:p w:rsidR="00665E09" w:rsidRPr="00665E09" w:rsidRDefault="009D0753" w:rsidP="00665E09">
                            <w:pPr>
                              <w:spacing w:after="0" w:line="240" w:lineRule="auto"/>
                              <w:jc w:val="center"/>
                              <w:rPr>
                                <w:rFonts w:ascii="Calibri" w:eastAsia="Times New Roman" w:hAnsi="Calibri" w:cs="Times New Roman"/>
                                <w:color w:val="FFFFFF" w:themeColor="background1"/>
                              </w:rPr>
                            </w:pPr>
                            <w:r>
                              <w:rPr>
                                <w:rFonts w:ascii="Calibri" w:eastAsia="Times New Roman" w:hAnsi="Calibri" w:cs="Times New Roman"/>
                                <w:color w:val="FFFFFF" w:themeColor="background1"/>
                              </w:rPr>
                              <w:t>102</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skill</w:t>
                            </w:r>
                          </w:p>
                        </w:tc>
                        <w:tc>
                          <w:tcPr>
                            <w:tcW w:w="960" w:type="dxa"/>
                            <w:tcBorders>
                              <w:top w:val="nil"/>
                              <w:left w:val="nil"/>
                              <w:bottom w:val="nil"/>
                              <w:right w:val="nil"/>
                            </w:tcBorders>
                            <w:shd w:val="clear" w:color="auto" w:fill="auto"/>
                            <w:noWrap/>
                            <w:vAlign w:val="bottom"/>
                            <w:hideMark/>
                          </w:tcPr>
                          <w:p w:rsidR="00665E09" w:rsidRPr="00665E09" w:rsidRDefault="009D0753" w:rsidP="00665E09">
                            <w:pPr>
                              <w:spacing w:after="0" w:line="240" w:lineRule="auto"/>
                              <w:jc w:val="center"/>
                              <w:rPr>
                                <w:rFonts w:ascii="Calibri" w:eastAsia="Times New Roman" w:hAnsi="Calibri" w:cs="Times New Roman"/>
                                <w:color w:val="FFFFFF" w:themeColor="background1"/>
                              </w:rPr>
                            </w:pPr>
                            <w:r>
                              <w:rPr>
                                <w:rFonts w:ascii="Calibri" w:eastAsia="Times New Roman" w:hAnsi="Calibri" w:cs="Times New Roman"/>
                                <w:color w:val="FFFFFF" w:themeColor="background1"/>
                              </w:rPr>
                              <w:t>90</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program</w:t>
                            </w:r>
                          </w:p>
                        </w:tc>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5</w:t>
                            </w:r>
                            <w:r w:rsidR="009D0753">
                              <w:rPr>
                                <w:rFonts w:ascii="Calibri" w:eastAsia="Times New Roman" w:hAnsi="Calibri" w:cs="Times New Roman"/>
                                <w:color w:val="FFFFFF" w:themeColor="background1"/>
                              </w:rPr>
                              <w:t>9</w:t>
                            </w:r>
                          </w:p>
                        </w:tc>
                      </w:tr>
                      <w:tr w:rsidR="00665E09" w:rsidRPr="00665E09" w:rsidTr="00665E09">
                        <w:trPr>
                          <w:trHeight w:val="300"/>
                        </w:trPr>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survey</w:t>
                            </w:r>
                          </w:p>
                        </w:tc>
                        <w:tc>
                          <w:tcPr>
                            <w:tcW w:w="960" w:type="dxa"/>
                            <w:tcBorders>
                              <w:top w:val="nil"/>
                              <w:left w:val="nil"/>
                              <w:bottom w:val="nil"/>
                              <w:right w:val="nil"/>
                            </w:tcBorders>
                            <w:shd w:val="clear" w:color="auto" w:fill="auto"/>
                            <w:noWrap/>
                            <w:vAlign w:val="bottom"/>
                            <w:hideMark/>
                          </w:tcPr>
                          <w:p w:rsidR="00665E09" w:rsidRPr="00665E09" w:rsidRDefault="00665E09" w:rsidP="00665E09">
                            <w:pPr>
                              <w:spacing w:after="0" w:line="240" w:lineRule="auto"/>
                              <w:jc w:val="center"/>
                              <w:rPr>
                                <w:rFonts w:ascii="Calibri" w:eastAsia="Times New Roman" w:hAnsi="Calibri" w:cs="Times New Roman"/>
                                <w:color w:val="FFFFFF" w:themeColor="background1"/>
                              </w:rPr>
                            </w:pPr>
                            <w:r w:rsidRPr="00665E09">
                              <w:rPr>
                                <w:rFonts w:ascii="Calibri" w:eastAsia="Times New Roman" w:hAnsi="Calibri" w:cs="Times New Roman"/>
                                <w:color w:val="FFFFFF" w:themeColor="background1"/>
                              </w:rPr>
                              <w:t>4</w:t>
                            </w:r>
                            <w:r w:rsidR="009D0753">
                              <w:rPr>
                                <w:rFonts w:ascii="Calibri" w:eastAsia="Times New Roman" w:hAnsi="Calibri" w:cs="Times New Roman"/>
                                <w:color w:val="FFFFFF" w:themeColor="background1"/>
                              </w:rPr>
                              <w:t>3</w:t>
                            </w:r>
                          </w:p>
                        </w:tc>
                      </w:tr>
                    </w:tbl>
                    <w:p w:rsidR="00665E09" w:rsidRDefault="00665E09" w:rsidP="00665E09">
                      <w:pPr>
                        <w:jc w:val="center"/>
                      </w:pPr>
                    </w:p>
                  </w:txbxContent>
                </v:textbox>
                <w10:wrap anchorx="margin"/>
              </v:roundrect>
            </w:pict>
          </mc:Fallback>
        </mc:AlternateContent>
      </w:r>
      <w:r>
        <w:rPr>
          <w:noProof/>
        </w:rPr>
        <w:drawing>
          <wp:inline distT="0" distB="0" distL="0" distR="0">
            <wp:extent cx="6610350" cy="39513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 50 words_all.png"/>
                    <pic:cNvPicPr/>
                  </pic:nvPicPr>
                  <pic:blipFill rotWithShape="1">
                    <a:blip r:embed="rId6">
                      <a:extLst>
                        <a:ext uri="{28A0092B-C50C-407E-A947-70E740481C1C}">
                          <a14:useLocalDpi xmlns:a14="http://schemas.microsoft.com/office/drawing/2010/main" val="0"/>
                        </a:ext>
                      </a:extLst>
                    </a:blip>
                    <a:srcRect b="4097"/>
                    <a:stretch/>
                  </pic:blipFill>
                  <pic:spPr bwMode="auto">
                    <a:xfrm>
                      <a:off x="0" y="0"/>
                      <a:ext cx="6610350" cy="3951379"/>
                    </a:xfrm>
                    <a:prstGeom prst="rect">
                      <a:avLst/>
                    </a:prstGeom>
                    <a:ln>
                      <a:noFill/>
                    </a:ln>
                    <a:extLst>
                      <a:ext uri="{53640926-AAD7-44D8-BBD7-CCE9431645EC}">
                        <a14:shadowObscured xmlns:a14="http://schemas.microsoft.com/office/drawing/2010/main"/>
                      </a:ext>
                    </a:extLst>
                  </pic:spPr>
                </pic:pic>
              </a:graphicData>
            </a:graphic>
          </wp:inline>
        </w:drawing>
      </w:r>
    </w:p>
    <w:p w:rsidR="0091061F" w:rsidRDefault="0091061F" w:rsidP="00A372D7"/>
    <w:p w:rsidR="00E31BC2" w:rsidRDefault="00E31BC2" w:rsidP="0091061F"/>
    <w:p w:rsidR="00E31BC2" w:rsidRDefault="00E31BC2" w:rsidP="0091061F"/>
    <w:p w:rsidR="00E31BC2" w:rsidRDefault="00E31BC2" w:rsidP="0091061F"/>
    <w:p w:rsidR="00E31BC2" w:rsidRDefault="00E31BC2" w:rsidP="0091061F"/>
    <w:p w:rsidR="00862311" w:rsidRDefault="0091061F" w:rsidP="0091061F">
      <w:r>
        <w:lastRenderedPageBreak/>
        <w:t xml:space="preserve">Next the comments were evaluated based upon frequency </w:t>
      </w:r>
      <w:r w:rsidR="00862311">
        <w:t>of word pairings.</w:t>
      </w:r>
      <w:r>
        <w:t xml:space="preserve"> The most frequently used words pairs add context to the most frequently used words.  ‘Essential’ and ‘skill’ were paired together more than any other two words. </w:t>
      </w:r>
      <w:r w:rsidR="00862311">
        <w:t xml:space="preserve">The remaining top five most common pairings were </w:t>
      </w:r>
      <w:r>
        <w:t xml:space="preserve">'student' and 'need', 'guided' and 'pathway', 'advisory' and 'board', and finally 'online' and 'student'. The </w:t>
      </w:r>
      <w:r w:rsidR="00862311">
        <w:t xml:space="preserve">student orientated with essential skills, advisement, and measuring outcomes focus </w:t>
      </w:r>
      <w:r>
        <w:t xml:space="preserve">suggested by the most frequently utilized words is further supported by the most common word pairings. </w:t>
      </w:r>
    </w:p>
    <w:p w:rsidR="00862311" w:rsidRDefault="00862311" w:rsidP="0091061F"/>
    <w:p w:rsidR="0091061F" w:rsidRDefault="0091061F" w:rsidP="0091061F">
      <w:r>
        <w:t xml:space="preserve">The 25 most common pairings are shown in the following chart. </w:t>
      </w:r>
    </w:p>
    <w:p w:rsidR="0091061F" w:rsidRDefault="0091061F" w:rsidP="00A372D7"/>
    <w:p w:rsidR="00BF7872" w:rsidRDefault="00B6073B" w:rsidP="00B6073B">
      <w:pPr>
        <w:ind w:left="-540"/>
      </w:pPr>
      <w:r>
        <w:rPr>
          <w:noProof/>
        </w:rPr>
        <w:drawing>
          <wp:inline distT="0" distB="0" distL="0" distR="0" wp14:anchorId="74351E79">
            <wp:extent cx="6724650" cy="5145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4650" cy="5145405"/>
                    </a:xfrm>
                    <a:prstGeom prst="rect">
                      <a:avLst/>
                    </a:prstGeom>
                    <a:noFill/>
                  </pic:spPr>
                </pic:pic>
              </a:graphicData>
            </a:graphic>
          </wp:inline>
        </w:drawing>
      </w:r>
    </w:p>
    <w:p w:rsidR="00BF7872" w:rsidRDefault="00BF7872" w:rsidP="00466203">
      <w:pPr>
        <w:jc w:val="both"/>
      </w:pPr>
    </w:p>
    <w:p w:rsidR="00BF7872" w:rsidRDefault="00BF7872">
      <w:pPr>
        <w:rPr>
          <w:b/>
          <w:u w:val="single"/>
        </w:rPr>
      </w:pPr>
    </w:p>
    <w:p w:rsidR="00BF7872" w:rsidRDefault="00BF7872" w:rsidP="00466203">
      <w:pPr>
        <w:jc w:val="both"/>
        <w:rPr>
          <w:b/>
          <w:u w:val="single"/>
        </w:rPr>
      </w:pPr>
    </w:p>
    <w:p w:rsidR="009E1EBE" w:rsidRDefault="009E1EBE" w:rsidP="00466203">
      <w:pPr>
        <w:jc w:val="both"/>
        <w:rPr>
          <w:b/>
          <w:u w:val="single"/>
        </w:rPr>
      </w:pPr>
      <w:r w:rsidRPr="00A372D7">
        <w:rPr>
          <w:b/>
          <w:u w:val="single"/>
        </w:rPr>
        <w:lastRenderedPageBreak/>
        <w:t xml:space="preserve">Analysis of </w:t>
      </w:r>
      <w:r>
        <w:rPr>
          <w:b/>
          <w:u w:val="single"/>
        </w:rPr>
        <w:t>END Specific</w:t>
      </w:r>
      <w:r w:rsidRPr="00A372D7">
        <w:rPr>
          <w:b/>
          <w:u w:val="single"/>
        </w:rPr>
        <w:t xml:space="preserve"> Comments</w:t>
      </w:r>
    </w:p>
    <w:p w:rsidR="0091061F" w:rsidRDefault="0091061F" w:rsidP="00466203">
      <w:pPr>
        <w:jc w:val="both"/>
      </w:pPr>
      <w:r>
        <w:t>Comments were then evaluated by the specific END and bullet item to which they were responding. Comment frequency by END and bullet are reported below.</w:t>
      </w:r>
    </w:p>
    <w:tbl>
      <w:tblPr>
        <w:tblW w:w="10023" w:type="dxa"/>
        <w:tblInd w:w="-365" w:type="dxa"/>
        <w:tblLook w:val="04A0" w:firstRow="1" w:lastRow="0" w:firstColumn="1" w:lastColumn="0" w:noHBand="0" w:noVBand="1"/>
      </w:tblPr>
      <w:tblGrid>
        <w:gridCol w:w="1620"/>
        <w:gridCol w:w="1710"/>
        <w:gridCol w:w="1710"/>
        <w:gridCol w:w="1710"/>
        <w:gridCol w:w="1620"/>
        <w:gridCol w:w="1653"/>
      </w:tblGrid>
      <w:tr w:rsidR="00225C0A" w:rsidRPr="00225C0A" w:rsidTr="00225C0A">
        <w:trPr>
          <w:trHeight w:val="144"/>
        </w:trPr>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End/Bullet</w:t>
            </w:r>
          </w:p>
        </w:tc>
        <w:tc>
          <w:tcPr>
            <w:tcW w:w="1710" w:type="dxa"/>
            <w:tcBorders>
              <w:top w:val="single" w:sz="4" w:space="0" w:color="auto"/>
              <w:left w:val="nil"/>
              <w:bottom w:val="single" w:sz="4" w:space="0" w:color="auto"/>
              <w:right w:val="single" w:sz="4" w:space="0" w:color="auto"/>
            </w:tcBorders>
            <w:shd w:val="clear" w:color="D9E1F2" w:fill="D9E1F2"/>
            <w:noWrap/>
            <w:vAlign w:val="bottom"/>
            <w:hideMark/>
          </w:tcPr>
          <w:p w:rsidR="00225C0A" w:rsidRPr="00225C0A" w:rsidRDefault="00225C0A" w:rsidP="00225C0A">
            <w:pPr>
              <w:spacing w:after="0" w:line="240" w:lineRule="auto"/>
              <w:jc w:val="center"/>
              <w:rPr>
                <w:rFonts w:eastAsia="Times New Roman" w:cs="Times New Roman"/>
                <w:b/>
                <w:bCs/>
                <w:color w:val="000000"/>
                <w:sz w:val="18"/>
                <w:szCs w:val="18"/>
              </w:rPr>
            </w:pPr>
            <w:r w:rsidRPr="00225C0A">
              <w:rPr>
                <w:rFonts w:eastAsia="Times New Roman" w:cs="Times New Roman"/>
                <w:b/>
                <w:bCs/>
                <w:color w:val="000000"/>
                <w:sz w:val="18"/>
                <w:szCs w:val="18"/>
              </w:rPr>
              <w:t># Where we are Responses</w:t>
            </w:r>
          </w:p>
        </w:tc>
        <w:tc>
          <w:tcPr>
            <w:tcW w:w="1710" w:type="dxa"/>
            <w:tcBorders>
              <w:top w:val="single" w:sz="4" w:space="0" w:color="auto"/>
              <w:left w:val="nil"/>
              <w:bottom w:val="single" w:sz="4" w:space="0" w:color="auto"/>
              <w:right w:val="single" w:sz="4" w:space="0" w:color="auto"/>
            </w:tcBorders>
            <w:shd w:val="clear" w:color="D9E1F2" w:fill="D9E1F2"/>
            <w:noWrap/>
            <w:vAlign w:val="bottom"/>
            <w:hideMark/>
          </w:tcPr>
          <w:p w:rsidR="00225C0A" w:rsidRPr="00225C0A" w:rsidRDefault="00225C0A" w:rsidP="00225C0A">
            <w:pPr>
              <w:spacing w:after="0" w:line="240" w:lineRule="auto"/>
              <w:jc w:val="center"/>
              <w:rPr>
                <w:rFonts w:eastAsia="Times New Roman" w:cs="Times New Roman"/>
                <w:b/>
                <w:bCs/>
                <w:color w:val="000000"/>
                <w:sz w:val="18"/>
                <w:szCs w:val="18"/>
              </w:rPr>
            </w:pPr>
            <w:r w:rsidRPr="00225C0A">
              <w:rPr>
                <w:rFonts w:eastAsia="Times New Roman" w:cs="Times New Roman"/>
                <w:b/>
                <w:bCs/>
                <w:color w:val="000000"/>
                <w:sz w:val="18"/>
                <w:szCs w:val="18"/>
              </w:rPr>
              <w:t>%</w:t>
            </w:r>
          </w:p>
        </w:tc>
        <w:tc>
          <w:tcPr>
            <w:tcW w:w="1710" w:type="dxa"/>
            <w:tcBorders>
              <w:top w:val="single" w:sz="4" w:space="0" w:color="auto"/>
              <w:left w:val="nil"/>
              <w:bottom w:val="single" w:sz="4" w:space="0" w:color="auto"/>
              <w:right w:val="single" w:sz="4" w:space="0" w:color="auto"/>
            </w:tcBorders>
            <w:shd w:val="clear" w:color="D9E1F2" w:fill="D9E1F2"/>
            <w:noWrap/>
            <w:vAlign w:val="bottom"/>
            <w:hideMark/>
          </w:tcPr>
          <w:p w:rsidR="00225C0A" w:rsidRPr="00225C0A" w:rsidRDefault="00225C0A" w:rsidP="00225C0A">
            <w:pPr>
              <w:spacing w:after="0" w:line="240" w:lineRule="auto"/>
              <w:jc w:val="center"/>
              <w:rPr>
                <w:rFonts w:eastAsia="Times New Roman" w:cs="Times New Roman"/>
                <w:b/>
                <w:bCs/>
                <w:color w:val="000000"/>
                <w:sz w:val="18"/>
                <w:szCs w:val="18"/>
              </w:rPr>
            </w:pPr>
            <w:r w:rsidRPr="00225C0A">
              <w:rPr>
                <w:rFonts w:eastAsia="Times New Roman" w:cs="Times New Roman"/>
                <w:b/>
                <w:bCs/>
                <w:color w:val="000000"/>
                <w:sz w:val="18"/>
                <w:szCs w:val="18"/>
              </w:rPr>
              <w:t># How to move Responses</w:t>
            </w:r>
          </w:p>
        </w:tc>
        <w:tc>
          <w:tcPr>
            <w:tcW w:w="1620" w:type="dxa"/>
            <w:tcBorders>
              <w:top w:val="single" w:sz="4" w:space="0" w:color="auto"/>
              <w:left w:val="nil"/>
              <w:bottom w:val="single" w:sz="4" w:space="0" w:color="auto"/>
              <w:right w:val="single" w:sz="4" w:space="0" w:color="auto"/>
            </w:tcBorders>
            <w:shd w:val="clear" w:color="D9E1F2" w:fill="D9E1F2"/>
            <w:noWrap/>
            <w:vAlign w:val="bottom"/>
            <w:hideMark/>
          </w:tcPr>
          <w:p w:rsidR="00225C0A" w:rsidRPr="00225C0A" w:rsidRDefault="00225C0A" w:rsidP="00225C0A">
            <w:pPr>
              <w:spacing w:after="0" w:line="240" w:lineRule="auto"/>
              <w:jc w:val="center"/>
              <w:rPr>
                <w:rFonts w:eastAsia="Times New Roman" w:cs="Times New Roman"/>
                <w:b/>
                <w:bCs/>
                <w:color w:val="000000"/>
                <w:sz w:val="18"/>
                <w:szCs w:val="18"/>
              </w:rPr>
            </w:pPr>
            <w:r w:rsidRPr="00225C0A">
              <w:rPr>
                <w:rFonts w:eastAsia="Times New Roman" w:cs="Times New Roman"/>
                <w:b/>
                <w:bCs/>
                <w:color w:val="000000"/>
                <w:sz w:val="18"/>
                <w:szCs w:val="18"/>
              </w:rPr>
              <w:t>%</w:t>
            </w:r>
          </w:p>
        </w:tc>
        <w:tc>
          <w:tcPr>
            <w:tcW w:w="1653" w:type="dxa"/>
            <w:tcBorders>
              <w:top w:val="single" w:sz="4" w:space="0" w:color="auto"/>
              <w:left w:val="nil"/>
              <w:bottom w:val="single" w:sz="4" w:space="0" w:color="auto"/>
              <w:right w:val="single" w:sz="4" w:space="0" w:color="auto"/>
            </w:tcBorders>
            <w:shd w:val="clear" w:color="D9E1F2" w:fill="D9E1F2"/>
            <w:noWrap/>
            <w:vAlign w:val="center"/>
            <w:hideMark/>
          </w:tcPr>
          <w:p w:rsidR="00225C0A" w:rsidRPr="00225C0A" w:rsidRDefault="00225C0A" w:rsidP="00225C0A">
            <w:pPr>
              <w:spacing w:after="0" w:line="240" w:lineRule="auto"/>
              <w:jc w:val="center"/>
              <w:rPr>
                <w:rFonts w:eastAsia="Times New Roman" w:cs="Times New Roman"/>
                <w:b/>
                <w:bCs/>
                <w:color w:val="000000"/>
                <w:sz w:val="18"/>
                <w:szCs w:val="18"/>
              </w:rPr>
            </w:pPr>
            <w:r w:rsidRPr="00225C0A">
              <w:rPr>
                <w:rFonts w:eastAsia="Times New Roman" w:cs="Times New Roman"/>
                <w:b/>
                <w:bCs/>
                <w:color w:val="000000"/>
                <w:sz w:val="18"/>
                <w:szCs w:val="18"/>
              </w:rPr>
              <w:t># Possible Responses</w:t>
            </w:r>
          </w:p>
        </w:tc>
      </w:tr>
      <w:tr w:rsidR="00225C0A" w:rsidRPr="00225C0A" w:rsidTr="00225C0A">
        <w:trPr>
          <w:trHeight w:val="144"/>
        </w:trPr>
        <w:tc>
          <w:tcPr>
            <w:tcW w:w="10023"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1</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29.81%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30</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28.85%</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104</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30.61%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29</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29.59%</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98</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29</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31.18%</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29</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31.18%</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93</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34.04%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23</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24.47%</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94</w:t>
            </w:r>
          </w:p>
        </w:tc>
      </w:tr>
      <w:tr w:rsidR="00225C0A" w:rsidRPr="00225C0A" w:rsidTr="00225C0A">
        <w:trPr>
          <w:trHeight w:val="144"/>
        </w:trPr>
        <w:tc>
          <w:tcPr>
            <w:tcW w:w="10023"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2</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22.73%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25</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28.41%</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88</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18</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21.69%</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21</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25.30%</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83</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9.20%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18</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20.69%</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87</w:t>
            </w:r>
          </w:p>
        </w:tc>
      </w:tr>
      <w:tr w:rsidR="00225C0A" w:rsidRPr="00225C0A" w:rsidTr="00225C0A">
        <w:trPr>
          <w:trHeight w:val="144"/>
        </w:trPr>
        <w:tc>
          <w:tcPr>
            <w:tcW w:w="10023"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3</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22.11%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26</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27.37%</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95</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15.56%</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23</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25.56%</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90</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15.56%</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19</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21.11%</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90</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14.12%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16</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18.82%</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85</w:t>
            </w:r>
          </w:p>
        </w:tc>
      </w:tr>
      <w:tr w:rsidR="00225C0A" w:rsidRPr="00225C0A" w:rsidTr="00225C0A">
        <w:trPr>
          <w:trHeight w:val="144"/>
        </w:trPr>
        <w:tc>
          <w:tcPr>
            <w:tcW w:w="10023"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4</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16</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19.51%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17</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20.73%</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82</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15</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18.75%</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13</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16.25%</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80</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14.49%</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10.14%</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69</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18</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21.95%</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18</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21.95%</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82</w:t>
            </w:r>
          </w:p>
        </w:tc>
      </w:tr>
      <w:tr w:rsidR="00225C0A" w:rsidRPr="00225C0A" w:rsidTr="00225C0A">
        <w:trPr>
          <w:trHeight w:val="144"/>
        </w:trPr>
        <w:tc>
          <w:tcPr>
            <w:tcW w:w="10023"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5</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12.66%</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11.39%</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79</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5.33%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9.33%</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75</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14.77%</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12</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13.64%</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88</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5.48%</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12.33%</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73</w:t>
            </w:r>
          </w:p>
        </w:tc>
      </w:tr>
      <w:tr w:rsidR="00225C0A" w:rsidRPr="00225C0A" w:rsidTr="00225C0A">
        <w:trPr>
          <w:trHeight w:val="144"/>
        </w:trPr>
        <w:tc>
          <w:tcPr>
            <w:tcW w:w="10023"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6</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7.69%</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7.69%</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65</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0.00%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3.39%</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59</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5.45%</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9.09%</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55</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1.64%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4.92%</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61</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5</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3.23%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12.90%</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62</w:t>
            </w:r>
          </w:p>
        </w:tc>
      </w:tr>
      <w:tr w:rsidR="00225C0A" w:rsidRPr="00225C0A" w:rsidTr="00225C0A">
        <w:trPr>
          <w:trHeight w:val="144"/>
        </w:trPr>
        <w:tc>
          <w:tcPr>
            <w:tcW w:w="10023"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7</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4.60%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6</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6.90%</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87</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5.00%</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3.75%</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80</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1.43%</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1.43%</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70</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5.19%</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3.90%</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77</w:t>
            </w:r>
          </w:p>
        </w:tc>
      </w:tr>
      <w:tr w:rsidR="00225C0A" w:rsidRPr="00225C0A" w:rsidTr="00225C0A">
        <w:trPr>
          <w:trHeight w:val="144"/>
        </w:trPr>
        <w:tc>
          <w:tcPr>
            <w:tcW w:w="10023"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5C0A" w:rsidRPr="00225C0A" w:rsidRDefault="00225C0A" w:rsidP="00225C0A">
            <w:pPr>
              <w:spacing w:after="0" w:line="240" w:lineRule="auto"/>
              <w:rPr>
                <w:rFonts w:eastAsia="Times New Roman" w:cs="Times New Roman"/>
                <w:b/>
                <w:bCs/>
                <w:color w:val="000000"/>
                <w:sz w:val="18"/>
                <w:szCs w:val="18"/>
              </w:rPr>
            </w:pPr>
            <w:r w:rsidRPr="00225C0A">
              <w:rPr>
                <w:rFonts w:eastAsia="Times New Roman" w:cs="Times New Roman"/>
                <w:b/>
                <w:bCs/>
                <w:color w:val="000000"/>
                <w:sz w:val="18"/>
                <w:szCs w:val="18"/>
              </w:rPr>
              <w:t>8</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10.81%</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10.81%</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74</w:t>
            </w:r>
          </w:p>
        </w:tc>
      </w:tr>
      <w:tr w:rsidR="00225C0A" w:rsidRPr="00225C0A" w:rsidTr="00225C0A">
        <w:trPr>
          <w:trHeight w:val="14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ind w:firstLineChars="100" w:firstLine="180"/>
              <w:rPr>
                <w:rFonts w:eastAsia="Times New Roman" w:cs="Times New Roman"/>
                <w:color w:val="000000"/>
                <w:sz w:val="18"/>
                <w:szCs w:val="18"/>
              </w:rPr>
            </w:pPr>
            <w:r w:rsidRPr="00225C0A">
              <w:rPr>
                <w:rFonts w:eastAsia="Times New Roman" w:cs="Times New Roman"/>
                <w:color w:val="000000"/>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8.47%</w:t>
            </w:r>
          </w:p>
        </w:tc>
        <w:tc>
          <w:tcPr>
            <w:tcW w:w="171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3</w:t>
            </w:r>
          </w:p>
        </w:tc>
        <w:tc>
          <w:tcPr>
            <w:tcW w:w="1620"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5.08%</w:t>
            </w:r>
          </w:p>
        </w:tc>
        <w:tc>
          <w:tcPr>
            <w:tcW w:w="1653" w:type="dxa"/>
            <w:tcBorders>
              <w:top w:val="nil"/>
              <w:left w:val="nil"/>
              <w:bottom w:val="single" w:sz="4" w:space="0" w:color="auto"/>
              <w:right w:val="single" w:sz="4" w:space="0" w:color="auto"/>
            </w:tcBorders>
            <w:shd w:val="clear" w:color="auto" w:fill="auto"/>
            <w:noWrap/>
            <w:vAlign w:val="bottom"/>
            <w:hideMark/>
          </w:tcPr>
          <w:p w:rsidR="00225C0A" w:rsidRPr="00225C0A" w:rsidRDefault="00225C0A" w:rsidP="00225C0A">
            <w:pPr>
              <w:spacing w:after="0" w:line="240" w:lineRule="auto"/>
              <w:jc w:val="center"/>
              <w:rPr>
                <w:rFonts w:eastAsia="Times New Roman" w:cs="Times New Roman"/>
                <w:color w:val="000000"/>
                <w:sz w:val="18"/>
                <w:szCs w:val="18"/>
              </w:rPr>
            </w:pPr>
            <w:r w:rsidRPr="00225C0A">
              <w:rPr>
                <w:rFonts w:eastAsia="Times New Roman" w:cs="Times New Roman"/>
                <w:color w:val="000000"/>
                <w:sz w:val="18"/>
                <w:szCs w:val="18"/>
              </w:rPr>
              <w:t>59</w:t>
            </w:r>
          </w:p>
        </w:tc>
      </w:tr>
    </w:tbl>
    <w:p w:rsidR="00225C0A" w:rsidRDefault="00225C0A" w:rsidP="00466203">
      <w:pPr>
        <w:jc w:val="both"/>
      </w:pPr>
    </w:p>
    <w:p w:rsidR="00CF6F97" w:rsidRDefault="00CF6F97" w:rsidP="00466203">
      <w:pPr>
        <w:jc w:val="both"/>
      </w:pPr>
    </w:p>
    <w:p w:rsidR="00CF6F97" w:rsidRDefault="00CF6F97" w:rsidP="00466203">
      <w:pPr>
        <w:jc w:val="both"/>
      </w:pPr>
    </w:p>
    <w:p w:rsidR="00E31BC2" w:rsidRDefault="00E31BC2" w:rsidP="00466203">
      <w:pPr>
        <w:jc w:val="both"/>
      </w:pPr>
    </w:p>
    <w:p w:rsidR="00E31BC2" w:rsidRDefault="00E31BC2" w:rsidP="00466203">
      <w:pPr>
        <w:jc w:val="both"/>
      </w:pPr>
    </w:p>
    <w:p w:rsidR="00FF63FE" w:rsidRDefault="00FF63FE" w:rsidP="00466203">
      <w:pPr>
        <w:jc w:val="both"/>
      </w:pPr>
      <w:r>
        <w:lastRenderedPageBreak/>
        <w:t xml:space="preserve">Themes within the context of each END and bullet were </w:t>
      </w:r>
      <w:r w:rsidR="00862311">
        <w:t>identified</w:t>
      </w:r>
      <w:r>
        <w:t xml:space="preserve">. Comments were examined for similarities and </w:t>
      </w:r>
      <w:r w:rsidR="006B0CF0">
        <w:t xml:space="preserve">topics </w:t>
      </w:r>
      <w:r>
        <w:t xml:space="preserve">most frequently discussed were consolidated into </w:t>
      </w:r>
      <w:r w:rsidR="006B0CF0">
        <w:t>succinct</w:t>
      </w:r>
      <w:r>
        <w:t xml:space="preserve"> theme</w:t>
      </w:r>
      <w:r w:rsidR="006B0CF0">
        <w:t>s</w:t>
      </w:r>
      <w:r>
        <w:t xml:space="preserve">. It is worth mentioning that the overall number of comments was low and that any themes identified should be carefully considered and likely not considered a significant representation of the population of faculty and staff at Barton Community College. However, that does not negate any insight gained, but rather serves </w:t>
      </w:r>
      <w:r w:rsidR="006B0CF0">
        <w:t xml:space="preserve">as a warning </w:t>
      </w:r>
      <w:r>
        <w:t>against overstating any results or trends</w:t>
      </w:r>
      <w:r w:rsidR="006B0CF0">
        <w:t xml:space="preserve"> identified</w:t>
      </w:r>
      <w:r>
        <w:t xml:space="preserve">. The following table reports the overall theme for each END and bullet for the </w:t>
      </w:r>
      <w:r w:rsidR="00A41CB2">
        <w:t>“</w:t>
      </w:r>
      <w:r>
        <w:t>where Barton is currently</w:t>
      </w:r>
      <w:r w:rsidR="00A41CB2">
        <w:t>”</w:t>
      </w:r>
      <w:r>
        <w:t xml:space="preserve"> and </w:t>
      </w:r>
      <w:r w:rsidR="00A41CB2">
        <w:t>“</w:t>
      </w:r>
      <w:r>
        <w:t>what is needed to improve</w:t>
      </w:r>
      <w:r w:rsidR="00A41CB2">
        <w:t>”</w:t>
      </w:r>
      <w:r>
        <w:t xml:space="preserve"> categories of commentary. </w:t>
      </w:r>
    </w:p>
    <w:p w:rsidR="00FF63FE" w:rsidRDefault="00FF63FE" w:rsidP="00466203">
      <w:pPr>
        <w:jc w:val="both"/>
      </w:pPr>
    </w:p>
    <w:tbl>
      <w:tblPr>
        <w:tblW w:w="10080" w:type="dxa"/>
        <w:tblLook w:val="04A0" w:firstRow="1" w:lastRow="0" w:firstColumn="1" w:lastColumn="0" w:noHBand="0" w:noVBand="1"/>
      </w:tblPr>
      <w:tblGrid>
        <w:gridCol w:w="1474"/>
        <w:gridCol w:w="4303"/>
        <w:gridCol w:w="4303"/>
      </w:tblGrid>
      <w:tr w:rsidR="00FF63FE" w:rsidRPr="00BF26ED" w:rsidTr="00FC20E3">
        <w:trPr>
          <w:trHeight w:val="315"/>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center"/>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 </w:t>
            </w:r>
          </w:p>
        </w:tc>
        <w:tc>
          <w:tcPr>
            <w:tcW w:w="4303" w:type="dxa"/>
            <w:tcBorders>
              <w:top w:val="single" w:sz="4" w:space="0" w:color="auto"/>
              <w:left w:val="nil"/>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center"/>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Where</w:t>
            </w:r>
          </w:p>
        </w:tc>
        <w:tc>
          <w:tcPr>
            <w:tcW w:w="4303" w:type="dxa"/>
            <w:tcBorders>
              <w:top w:val="single" w:sz="4" w:space="0" w:color="auto"/>
              <w:left w:val="nil"/>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center"/>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Move</w:t>
            </w:r>
          </w:p>
        </w:tc>
      </w:tr>
      <w:tr w:rsidR="00FF63FE" w:rsidRPr="00BF26ED" w:rsidTr="00FC20E3">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F63FE" w:rsidRPr="00BF26ED" w:rsidRDefault="00FF63FE" w:rsidP="00FC20E3">
            <w:pPr>
              <w:spacing w:after="0" w:line="240" w:lineRule="auto"/>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End 1</w:t>
            </w:r>
          </w:p>
        </w:tc>
      </w:tr>
      <w:tr w:rsidR="00FF63FE" w:rsidRPr="00BF26ED" w:rsidTr="00FF63FE">
        <w:trPr>
          <w:trHeight w:val="377"/>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one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Not uniform across college/programs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Need more consistency across entire college</w:t>
            </w:r>
            <w:r w:rsidR="007C3302">
              <w:rPr>
                <w:rFonts w:ascii="Calibri" w:eastAsia="Times New Roman" w:hAnsi="Calibri" w:cs="Times New Roman"/>
                <w:color w:val="000000"/>
                <w:sz w:val="18"/>
                <w:szCs w:val="18"/>
              </w:rPr>
              <w:t>; required</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two</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Not uniform across college/programs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Need more consistency across entire college; Academic Divisions may be behind</w:t>
            </w:r>
            <w:r w:rsidR="007C3302">
              <w:rPr>
                <w:rFonts w:ascii="Calibri" w:eastAsia="Times New Roman" w:hAnsi="Calibri" w:cs="Times New Roman"/>
                <w:color w:val="000000"/>
                <w:sz w:val="18"/>
                <w:szCs w:val="18"/>
              </w:rPr>
              <w:t>; More student training needed</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three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Not uniform across college/programs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Need more consistency across entire college; Students could benefit from a basic life skills course requirement</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four</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Sufficient</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Need more consistency across entire college; Mandatory/assessment implementation</w:t>
            </w:r>
          </w:p>
        </w:tc>
      </w:tr>
      <w:tr w:rsidR="00FF63FE" w:rsidRPr="00BF26ED" w:rsidTr="00FC20E3">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F63FE" w:rsidRPr="00BF26ED" w:rsidRDefault="00FF63FE" w:rsidP="00FC20E3">
            <w:pPr>
              <w:spacing w:after="0" w:line="240" w:lineRule="auto"/>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 xml:space="preserve">End 2 </w:t>
            </w:r>
          </w:p>
        </w:tc>
      </w:tr>
      <w:tr w:rsidR="00FF63FE" w:rsidRPr="00BF26ED" w:rsidTr="00FF63FE">
        <w:trPr>
          <w:trHeight w:val="404"/>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one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Most are there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Make sure all venues and students have them</w:t>
            </w:r>
            <w:r w:rsidR="00FD35DC">
              <w:rPr>
                <w:rFonts w:ascii="Calibri" w:eastAsia="Times New Roman" w:hAnsi="Calibri" w:cs="Times New Roman"/>
                <w:color w:val="000000"/>
                <w:sz w:val="18"/>
                <w:szCs w:val="18"/>
              </w:rPr>
              <w:t xml:space="preserve">; </w:t>
            </w:r>
            <w:r w:rsidR="005B662E">
              <w:rPr>
                <w:rFonts w:ascii="Calibri" w:eastAsia="Times New Roman" w:hAnsi="Calibri" w:cs="Times New Roman"/>
                <w:color w:val="000000"/>
                <w:sz w:val="18"/>
                <w:szCs w:val="18"/>
              </w:rPr>
              <w:t>Gather feedback to assess readiness of former students</w:t>
            </w:r>
          </w:p>
        </w:tc>
      </w:tr>
      <w:tr w:rsidR="00FF63FE" w:rsidRPr="00BF26ED" w:rsidTr="00FF63FE">
        <w:trPr>
          <w:trHeight w:val="449"/>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two</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May be a problem for some areas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xml:space="preserve">Make sure essential skills are </w:t>
            </w:r>
            <w:r w:rsidR="00A41CB2" w:rsidRPr="00BF26ED">
              <w:rPr>
                <w:rFonts w:ascii="Calibri" w:eastAsia="Times New Roman" w:hAnsi="Calibri" w:cs="Times New Roman"/>
                <w:color w:val="000000"/>
                <w:sz w:val="18"/>
                <w:szCs w:val="18"/>
              </w:rPr>
              <w:t>emphasized</w:t>
            </w:r>
          </w:p>
        </w:tc>
      </w:tr>
      <w:tr w:rsidR="00FF63FE" w:rsidRPr="00BF26ED" w:rsidTr="00FF63FE">
        <w:trPr>
          <w:trHeight w:val="48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three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As expected</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7C3302" w:rsidP="007C3302">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De</w:t>
            </w:r>
            <w:r w:rsidR="00FF63FE" w:rsidRPr="00BF26ED">
              <w:rPr>
                <w:rFonts w:ascii="Calibri" w:eastAsia="Times New Roman" w:hAnsi="Calibri" w:cs="Times New Roman"/>
                <w:color w:val="000000"/>
                <w:sz w:val="18"/>
                <w:szCs w:val="18"/>
              </w:rPr>
              <w:t>pends on the individual student</w:t>
            </w:r>
            <w:r w:rsidR="005B662E">
              <w:rPr>
                <w:rFonts w:ascii="Calibri" w:eastAsia="Times New Roman" w:hAnsi="Calibri" w:cs="Times New Roman"/>
                <w:color w:val="000000"/>
                <w:sz w:val="18"/>
                <w:szCs w:val="18"/>
              </w:rPr>
              <w:t>; C</w:t>
            </w:r>
            <w:r w:rsidR="005B662E" w:rsidRPr="005B662E">
              <w:rPr>
                <w:rFonts w:ascii="Calibri" w:eastAsia="Times New Roman" w:hAnsi="Calibri" w:cs="Times New Roman"/>
                <w:color w:val="000000"/>
                <w:sz w:val="18"/>
                <w:szCs w:val="18"/>
              </w:rPr>
              <w:t xml:space="preserve">onnect material and </w:t>
            </w:r>
            <w:r w:rsidR="005B662E">
              <w:rPr>
                <w:rFonts w:ascii="Calibri" w:eastAsia="Times New Roman" w:hAnsi="Calibri" w:cs="Times New Roman"/>
                <w:color w:val="000000"/>
                <w:sz w:val="18"/>
                <w:szCs w:val="18"/>
              </w:rPr>
              <w:t>work environments</w:t>
            </w:r>
          </w:p>
        </w:tc>
      </w:tr>
      <w:tr w:rsidR="00FF63FE" w:rsidRPr="00BF26ED" w:rsidTr="00FC20E3">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F63FE" w:rsidRPr="00BF26ED" w:rsidRDefault="00FF63FE" w:rsidP="00FC20E3">
            <w:pPr>
              <w:spacing w:after="0" w:line="240" w:lineRule="auto"/>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End 3</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one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xml:space="preserve">Do </w:t>
            </w:r>
            <w:r w:rsidR="005B662E">
              <w:rPr>
                <w:rFonts w:ascii="Calibri" w:eastAsia="Times New Roman" w:hAnsi="Calibri" w:cs="Times New Roman"/>
                <w:color w:val="000000"/>
                <w:sz w:val="18"/>
                <w:szCs w:val="18"/>
              </w:rPr>
              <w:t>w</w:t>
            </w:r>
            <w:r w:rsidRPr="00BF26ED">
              <w:rPr>
                <w:rFonts w:ascii="Calibri" w:eastAsia="Times New Roman" w:hAnsi="Calibri" w:cs="Times New Roman"/>
                <w:color w:val="000000"/>
                <w:sz w:val="18"/>
                <w:szCs w:val="18"/>
              </w:rPr>
              <w:t>ell but may improve through Degree Works and advisor training</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Better articulation program and promotion</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two</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Good alignment with advisors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Tools and communication with students to eliminate confusion</w:t>
            </w:r>
          </w:p>
        </w:tc>
      </w:tr>
      <w:tr w:rsidR="00FF63FE" w:rsidRPr="00BF26ED" w:rsidTr="00FF63FE">
        <w:trPr>
          <w:trHeight w:val="449"/>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three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Students are informed</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Guided Pathways/more advisement</w:t>
            </w:r>
          </w:p>
        </w:tc>
      </w:tr>
      <w:tr w:rsidR="00FF63FE" w:rsidRPr="00BF26ED" w:rsidTr="00FF63FE">
        <w:trPr>
          <w:trHeight w:val="386"/>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four</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Have existing partnerships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More partnerships/Guided Pathways/advising</w:t>
            </w:r>
          </w:p>
        </w:tc>
      </w:tr>
      <w:tr w:rsidR="00FF63FE" w:rsidRPr="00BF26ED" w:rsidTr="00FC20E3">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F63FE" w:rsidRPr="00BF26ED" w:rsidRDefault="00FF63FE" w:rsidP="00FC20E3">
            <w:pPr>
              <w:spacing w:after="0" w:line="240" w:lineRule="auto"/>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End 4</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one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Difficult to get accurate responses from students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Increase student participation through efforts emphasizing importance</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two</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Some instructors take their eval</w:t>
            </w:r>
            <w:r>
              <w:rPr>
                <w:rFonts w:ascii="Calibri" w:eastAsia="Times New Roman" w:hAnsi="Calibri" w:cs="Times New Roman"/>
                <w:color w:val="000000"/>
                <w:sz w:val="18"/>
                <w:szCs w:val="18"/>
              </w:rPr>
              <w:t>uation</w:t>
            </w:r>
            <w:r w:rsidRPr="00BF26ED">
              <w:rPr>
                <w:rFonts w:ascii="Calibri" w:eastAsia="Times New Roman" w:hAnsi="Calibri" w:cs="Times New Roman"/>
                <w:color w:val="000000"/>
                <w:sz w:val="18"/>
                <w:szCs w:val="18"/>
              </w:rPr>
              <w:t>s seriously, but most students don't</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More follow up with faculty</w:t>
            </w:r>
          </w:p>
        </w:tc>
      </w:tr>
      <w:tr w:rsidR="00FF63FE" w:rsidRPr="00BF26ED" w:rsidTr="00FF63FE">
        <w:trPr>
          <w:trHeight w:val="404"/>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three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Not sure/students don't take survey's seriously</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Gather more responses</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four</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"lacking an effective diverse cultural relationship between staff, faulty and foreign students"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Increase the number of cultural experiences</w:t>
            </w:r>
          </w:p>
        </w:tc>
      </w:tr>
      <w:tr w:rsidR="00FF63FE" w:rsidRPr="00BF26ED" w:rsidTr="00FC20E3">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F63FE" w:rsidRPr="00BF26ED" w:rsidRDefault="00FF63FE" w:rsidP="00FC20E3">
            <w:pPr>
              <w:spacing w:after="0" w:line="240" w:lineRule="auto"/>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lastRenderedPageBreak/>
              <w:t>End 5</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one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Proactive efforts exist at Barton</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Continued use of advisory boards</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two</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Improving</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More visibility and transparency</w:t>
            </w:r>
            <w:r w:rsidR="00943147">
              <w:rPr>
                <w:rFonts w:ascii="Calibri" w:eastAsia="Times New Roman" w:hAnsi="Calibri" w:cs="Times New Roman"/>
                <w:color w:val="000000"/>
                <w:sz w:val="18"/>
                <w:szCs w:val="18"/>
              </w:rPr>
              <w:t>; Better resource allocation across all locations</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three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Have strong partnerships in place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Increased visibility in business community</w:t>
            </w:r>
            <w:r w:rsidR="00943147">
              <w:rPr>
                <w:rFonts w:ascii="Calibri" w:eastAsia="Times New Roman" w:hAnsi="Calibri" w:cs="Times New Roman"/>
                <w:color w:val="000000"/>
                <w:sz w:val="18"/>
                <w:szCs w:val="18"/>
              </w:rPr>
              <w:t xml:space="preserve"> for all locations</w:t>
            </w:r>
          </w:p>
        </w:tc>
      </w:tr>
      <w:tr w:rsidR="00FF63FE" w:rsidRPr="00BF26ED" w:rsidTr="00FC20E3">
        <w:trPr>
          <w:trHeight w:val="63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four</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Improving but unsure if BCC is viewed as a leader by community</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r w:rsidR="00943147">
              <w:rPr>
                <w:rFonts w:ascii="Calibri" w:eastAsia="Times New Roman" w:hAnsi="Calibri" w:cs="Times New Roman"/>
                <w:color w:val="000000"/>
                <w:sz w:val="18"/>
                <w:szCs w:val="18"/>
              </w:rPr>
              <w:t>Increase awareness and visibility in communities</w:t>
            </w:r>
          </w:p>
        </w:tc>
      </w:tr>
      <w:tr w:rsidR="00FF63FE" w:rsidRPr="00BF26ED" w:rsidTr="00FC20E3">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F63FE" w:rsidRPr="00BF26ED" w:rsidRDefault="00FF63FE" w:rsidP="00FC20E3">
            <w:pPr>
              <w:spacing w:after="0" w:line="240" w:lineRule="auto"/>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End 6</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one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May need nontraditional support hours for students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943147" w:rsidP="00FC20E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w:t>
            </w:r>
            <w:r w:rsidR="00FF63FE" w:rsidRPr="00BF26ED">
              <w:rPr>
                <w:rFonts w:ascii="Calibri" w:eastAsia="Times New Roman" w:hAnsi="Calibri" w:cs="Times New Roman"/>
                <w:color w:val="000000"/>
                <w:sz w:val="18"/>
                <w:szCs w:val="18"/>
              </w:rPr>
              <w:t>ork to standardize at all locations/campuses</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two</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More online tools like Admissions Portal</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three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four</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five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943147" w:rsidP="00FC20E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Improve communication with all locations to increase faculty/staff buy in and participation</w:t>
            </w:r>
            <w:r w:rsidR="00FF63FE" w:rsidRPr="00BF26ED">
              <w:rPr>
                <w:rFonts w:ascii="Calibri" w:eastAsia="Times New Roman" w:hAnsi="Calibri" w:cs="Times New Roman"/>
                <w:color w:val="000000"/>
                <w:sz w:val="18"/>
                <w:szCs w:val="18"/>
              </w:rPr>
              <w:t> </w:t>
            </w:r>
          </w:p>
        </w:tc>
      </w:tr>
      <w:tr w:rsidR="00FF63FE" w:rsidRPr="00BF26ED" w:rsidTr="00FC20E3">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F63FE" w:rsidRPr="00BF26ED" w:rsidRDefault="00FF63FE" w:rsidP="00FC20E3">
            <w:pPr>
              <w:spacing w:after="0" w:line="240" w:lineRule="auto"/>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End 7</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one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Current plan meets this goal</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5B662E" w:rsidP="00FC20E3">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Ongoing communication</w:t>
            </w:r>
            <w:r w:rsidR="00FF63FE" w:rsidRPr="00BF26ED">
              <w:rPr>
                <w:rFonts w:ascii="Calibri" w:eastAsia="Times New Roman" w:hAnsi="Calibri" w:cs="Times New Roman"/>
                <w:color w:val="000000"/>
                <w:sz w:val="18"/>
                <w:szCs w:val="18"/>
              </w:rPr>
              <w:t> </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two</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Continued Ends Meetings/Planning</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three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jc w:val="both"/>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four</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Add evaluation of previous decisions to process</w:t>
            </w:r>
          </w:p>
        </w:tc>
      </w:tr>
      <w:tr w:rsidR="00FF63FE" w:rsidRPr="00BF26ED" w:rsidTr="00FC20E3">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F63FE" w:rsidRPr="00BF26ED" w:rsidRDefault="00FF63FE" w:rsidP="00FC20E3">
            <w:pPr>
              <w:spacing w:after="0" w:line="240" w:lineRule="auto"/>
              <w:rPr>
                <w:rFonts w:ascii="Calibri" w:eastAsia="Times New Roman" w:hAnsi="Calibri" w:cs="Times New Roman"/>
                <w:b/>
                <w:bCs/>
                <w:color w:val="000000"/>
                <w:sz w:val="18"/>
                <w:szCs w:val="18"/>
              </w:rPr>
            </w:pPr>
            <w:r w:rsidRPr="00BF26ED">
              <w:rPr>
                <w:rFonts w:ascii="Calibri" w:eastAsia="Times New Roman" w:hAnsi="Calibri" w:cs="Times New Roman"/>
                <w:b/>
                <w:bCs/>
                <w:color w:val="000000"/>
                <w:sz w:val="18"/>
                <w:szCs w:val="18"/>
              </w:rPr>
              <w:t>End 8</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one</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Barton is mindful of its resources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Not all departments/areas as efficient as others</w:t>
            </w:r>
            <w:r w:rsidR="00183E21">
              <w:rPr>
                <w:rFonts w:ascii="Calibri" w:eastAsia="Times New Roman" w:hAnsi="Calibri" w:cs="Times New Roman"/>
                <w:color w:val="000000"/>
                <w:sz w:val="18"/>
                <w:szCs w:val="18"/>
              </w:rPr>
              <w:t>; Increase communication among employees and locations before changes made</w:t>
            </w:r>
          </w:p>
        </w:tc>
      </w:tr>
      <w:tr w:rsidR="00FF63FE" w:rsidRPr="00BF26ED" w:rsidTr="00FC20E3">
        <w:trPr>
          <w:trHeight w:val="3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FF63FE" w:rsidRPr="00BF26ED" w:rsidRDefault="00FF63FE" w:rsidP="00FC20E3">
            <w:pPr>
              <w:spacing w:after="0" w:line="240" w:lineRule="auto"/>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Bullet two</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President communicates well with Trustees</w:t>
            </w:r>
          </w:p>
        </w:tc>
        <w:tc>
          <w:tcPr>
            <w:tcW w:w="4303" w:type="dxa"/>
            <w:tcBorders>
              <w:top w:val="nil"/>
              <w:left w:val="nil"/>
              <w:bottom w:val="single" w:sz="4" w:space="0" w:color="auto"/>
              <w:right w:val="single" w:sz="4" w:space="0" w:color="auto"/>
            </w:tcBorders>
            <w:shd w:val="clear" w:color="auto" w:fill="auto"/>
            <w:vAlign w:val="center"/>
            <w:hideMark/>
          </w:tcPr>
          <w:p w:rsidR="00FF63FE" w:rsidRPr="00BF26ED" w:rsidRDefault="00FF63FE" w:rsidP="00FC20E3">
            <w:pPr>
              <w:spacing w:after="0" w:line="240" w:lineRule="auto"/>
              <w:jc w:val="center"/>
              <w:rPr>
                <w:rFonts w:ascii="Calibri" w:eastAsia="Times New Roman" w:hAnsi="Calibri" w:cs="Times New Roman"/>
                <w:color w:val="000000"/>
                <w:sz w:val="18"/>
                <w:szCs w:val="18"/>
              </w:rPr>
            </w:pPr>
            <w:r w:rsidRPr="00BF26ED">
              <w:rPr>
                <w:rFonts w:ascii="Calibri" w:eastAsia="Times New Roman" w:hAnsi="Calibri" w:cs="Times New Roman"/>
                <w:color w:val="000000"/>
                <w:sz w:val="18"/>
                <w:szCs w:val="18"/>
              </w:rPr>
              <w:t> </w:t>
            </w:r>
          </w:p>
        </w:tc>
      </w:tr>
    </w:tbl>
    <w:p w:rsidR="00FF63FE" w:rsidRDefault="00FF63FE" w:rsidP="00466203">
      <w:pPr>
        <w:jc w:val="both"/>
      </w:pPr>
    </w:p>
    <w:p w:rsidR="00FF63FE" w:rsidRDefault="00FF63FE" w:rsidP="00FF63FE"/>
    <w:p w:rsidR="00FF63FE" w:rsidRDefault="00FF63FE" w:rsidP="00FF63FE">
      <w:r>
        <w:t xml:space="preserve">Two major themes quickly emerged </w:t>
      </w:r>
      <w:r w:rsidR="006B0CF0">
        <w:t xml:space="preserve">during comment evaluation. </w:t>
      </w:r>
      <w:r>
        <w:t xml:space="preserve">The first and most common theme </w:t>
      </w:r>
      <w:r w:rsidR="006B0CF0">
        <w:t>centered on</w:t>
      </w:r>
      <w:r>
        <w:t xml:space="preserve"> a need to improve uniformity across the entire college. The second theme indicated that increased efforts towards greater visibility and communication </w:t>
      </w:r>
      <w:r w:rsidR="00A41CB2">
        <w:t>w</w:t>
      </w:r>
      <w:r w:rsidR="006B0CF0">
        <w:t>ere</w:t>
      </w:r>
      <w:r w:rsidR="00A41CB2">
        <w:t xml:space="preserve"> </w:t>
      </w:r>
      <w:r>
        <w:t xml:space="preserve">needed. Additionally, a sub item of the second theme </w:t>
      </w:r>
      <w:r w:rsidR="006B0CF0">
        <w:t>reflected a desire for</w:t>
      </w:r>
      <w:r w:rsidR="00A41CB2">
        <w:t xml:space="preserve"> </w:t>
      </w:r>
      <w:r>
        <w:t xml:space="preserve">greater usage of online tools to accomplish the second theme. </w:t>
      </w:r>
      <w:r w:rsidR="00A41CB2">
        <w:t>The</w:t>
      </w:r>
      <w:r w:rsidR="006B0CF0">
        <w:t xml:space="preserve"> identified</w:t>
      </w:r>
      <w:r w:rsidR="00A41CB2">
        <w:t xml:space="preserve"> themes are discussed further in the next section.</w:t>
      </w:r>
    </w:p>
    <w:p w:rsidR="00FF63FE" w:rsidRDefault="00FF63FE" w:rsidP="00FF63FE"/>
    <w:p w:rsidR="00A41CB2" w:rsidRDefault="00A41CB2" w:rsidP="00FF63FE"/>
    <w:p w:rsidR="00A41CB2" w:rsidRDefault="00A41CB2" w:rsidP="00FF63FE"/>
    <w:p w:rsidR="00A41CB2" w:rsidRDefault="00A41CB2" w:rsidP="00FF63FE"/>
    <w:p w:rsidR="00A41CB2" w:rsidRDefault="00A41CB2" w:rsidP="00FF63FE"/>
    <w:p w:rsidR="00A41CB2" w:rsidRDefault="00A41CB2" w:rsidP="00FF63FE"/>
    <w:p w:rsidR="00A41CB2" w:rsidRDefault="00A41CB2" w:rsidP="00FF63FE"/>
    <w:p w:rsidR="00A41CB2" w:rsidRPr="00A41CB2" w:rsidRDefault="00A41CB2" w:rsidP="00FF63FE">
      <w:pPr>
        <w:rPr>
          <w:b/>
          <w:u w:val="single"/>
        </w:rPr>
      </w:pPr>
      <w:r>
        <w:rPr>
          <w:b/>
          <w:u w:val="single"/>
        </w:rPr>
        <w:lastRenderedPageBreak/>
        <w:t>Lessons Learned</w:t>
      </w:r>
    </w:p>
    <w:p w:rsidR="0091061F" w:rsidRDefault="00BF7872" w:rsidP="00FF63FE">
      <w:r>
        <w:t xml:space="preserve">Theme 1: </w:t>
      </w:r>
      <w:r w:rsidR="0024520A">
        <w:t>Need to improve u</w:t>
      </w:r>
      <w:r>
        <w:t xml:space="preserve">niformity </w:t>
      </w:r>
      <w:r w:rsidR="0024520A">
        <w:t>across entire college.</w:t>
      </w:r>
    </w:p>
    <w:p w:rsidR="00A41CB2" w:rsidRDefault="00A41CB2" w:rsidP="00A41CB2">
      <w:pPr>
        <w:pStyle w:val="ListParagraph"/>
        <w:numPr>
          <w:ilvl w:val="0"/>
          <w:numId w:val="2"/>
        </w:numPr>
      </w:pPr>
      <w:r>
        <w:t>9 of the individual END and bullets summary themes echoed this message.</w:t>
      </w:r>
    </w:p>
    <w:p w:rsidR="00A41CB2" w:rsidRDefault="00A41CB2" w:rsidP="00A41CB2">
      <w:pPr>
        <w:pStyle w:val="ListParagraph"/>
        <w:numPr>
          <w:ilvl w:val="0"/>
          <w:numId w:val="2"/>
        </w:numPr>
      </w:pPr>
      <w:r>
        <w:t>Most often concern was communicated that not all parties are equal in terms of efficiency, student service, and academic standards.</w:t>
      </w:r>
    </w:p>
    <w:p w:rsidR="00A41CB2" w:rsidRDefault="00A41CB2" w:rsidP="00A41CB2">
      <w:pPr>
        <w:pStyle w:val="ListParagraph"/>
        <w:numPr>
          <w:ilvl w:val="1"/>
          <w:numId w:val="2"/>
        </w:numPr>
      </w:pPr>
      <w:r>
        <w:t>Concern students were not equally served was also present.</w:t>
      </w:r>
    </w:p>
    <w:p w:rsidR="00A41CB2" w:rsidRDefault="00A41CB2" w:rsidP="00A41CB2">
      <w:r>
        <w:t>The first theme centers on ensuring students have the same education, student services, and support regardless of how or where they attend Barton. Comments covered everything from using resources efficiently, to providing better tools for advisors and students to ensure success. Additionally, respondents advocated for increased attention be paid to student evaluations. Specifically, they wanted both the students to take evaluations seriously and faculty to carefully consider the feedback given. Further, comments also expressed concern over the perceived differences across departments and campuses. Most often the commenter felt others did not perform as well as their respective group did</w:t>
      </w:r>
      <w:r w:rsidR="006B0CF0">
        <w:t>;</w:t>
      </w:r>
      <w:r>
        <w:t xml:space="preserve"> so some bias is surely present in these opinions. </w:t>
      </w:r>
    </w:p>
    <w:p w:rsidR="00A41CB2" w:rsidRDefault="00A41CB2" w:rsidP="00FF63FE"/>
    <w:p w:rsidR="00A41CB2" w:rsidRDefault="00A41CB2" w:rsidP="00FF63FE"/>
    <w:p w:rsidR="00A41CB2" w:rsidRDefault="00A41CB2" w:rsidP="00A41CB2">
      <w:r>
        <w:t>Theme 2: Need to increase efforts towards greater visibility and communication by the College.</w:t>
      </w:r>
    </w:p>
    <w:p w:rsidR="00A41CB2" w:rsidRDefault="00A41CB2" w:rsidP="00A41CB2">
      <w:pPr>
        <w:pStyle w:val="ListParagraph"/>
        <w:numPr>
          <w:ilvl w:val="0"/>
          <w:numId w:val="1"/>
        </w:numPr>
      </w:pPr>
      <w:r>
        <w:t>Greater usage of online tools to reach audiences.</w:t>
      </w:r>
    </w:p>
    <w:p w:rsidR="00A41CB2" w:rsidRDefault="00A41CB2" w:rsidP="00A41CB2">
      <w:pPr>
        <w:pStyle w:val="ListParagraph"/>
        <w:numPr>
          <w:ilvl w:val="1"/>
          <w:numId w:val="1"/>
        </w:numPr>
      </w:pPr>
      <w:r>
        <w:t>Admissions Portal</w:t>
      </w:r>
    </w:p>
    <w:p w:rsidR="00A41CB2" w:rsidRDefault="00A41CB2" w:rsidP="00A41CB2">
      <w:pPr>
        <w:pStyle w:val="ListParagraph"/>
        <w:numPr>
          <w:ilvl w:val="1"/>
          <w:numId w:val="1"/>
        </w:numPr>
      </w:pPr>
      <w:r>
        <w:t xml:space="preserve">Guided Pathways </w:t>
      </w:r>
    </w:p>
    <w:p w:rsidR="00A41CB2" w:rsidRDefault="00A41CB2" w:rsidP="00A41CB2">
      <w:pPr>
        <w:pStyle w:val="ListParagraph"/>
        <w:numPr>
          <w:ilvl w:val="0"/>
          <w:numId w:val="1"/>
        </w:numPr>
      </w:pPr>
      <w:r>
        <w:t>Increase awareness in the community.</w:t>
      </w:r>
    </w:p>
    <w:p w:rsidR="00A41CB2" w:rsidRDefault="00A41CB2" w:rsidP="00A41CB2">
      <w:pPr>
        <w:pStyle w:val="ListParagraph"/>
        <w:numPr>
          <w:ilvl w:val="1"/>
          <w:numId w:val="1"/>
        </w:numPr>
      </w:pPr>
      <w:r>
        <w:t>Leader on business training.</w:t>
      </w:r>
    </w:p>
    <w:p w:rsidR="00A41CB2" w:rsidRDefault="00A41CB2" w:rsidP="00A41CB2">
      <w:pPr>
        <w:pStyle w:val="ListParagraph"/>
        <w:numPr>
          <w:ilvl w:val="1"/>
          <w:numId w:val="1"/>
        </w:numPr>
      </w:pPr>
      <w:r>
        <w:t>Leader on economic development.</w:t>
      </w:r>
    </w:p>
    <w:p w:rsidR="00A41CB2" w:rsidRDefault="00A41CB2" w:rsidP="00A41CB2">
      <w:pPr>
        <w:pStyle w:val="ListParagraph"/>
        <w:numPr>
          <w:ilvl w:val="0"/>
          <w:numId w:val="1"/>
        </w:numPr>
      </w:pPr>
      <w:r>
        <w:t xml:space="preserve">Increase student awareness of programs, transfer options, student services, and various tools available to them. </w:t>
      </w:r>
    </w:p>
    <w:p w:rsidR="00A41CB2" w:rsidRDefault="00A41CB2" w:rsidP="00A41CB2">
      <w:pPr>
        <w:pStyle w:val="ListParagraph"/>
        <w:numPr>
          <w:ilvl w:val="0"/>
          <w:numId w:val="1"/>
        </w:numPr>
      </w:pPr>
      <w:r>
        <w:t>Expand business partnerships and enhance offerings to the various business needs that exist near Barton.</w:t>
      </w:r>
    </w:p>
    <w:p w:rsidR="00A41CB2" w:rsidRDefault="00A41CB2" w:rsidP="00FF63FE">
      <w:r>
        <w:t>The second theme is less about internal visibility and communication and more about Barton self-advocating in the surrounding communities</w:t>
      </w:r>
      <w:r w:rsidR="007E3127">
        <w:t xml:space="preserve"> and internal audiences</w:t>
      </w:r>
      <w:r>
        <w:t xml:space="preserve">. Comments emphasized a need to make various businesses, community members, and students aware of the services, products, and solutions Barton produces. From 2+2 agreements to Barton’s ability to lead economic development, respondents felt there was much more that could be done to leverage these aspects into win/win scenarios for both the college and its partners. </w:t>
      </w:r>
    </w:p>
    <w:p w:rsidR="00A41CB2" w:rsidRDefault="00A41CB2" w:rsidP="00A41CB2">
      <w:pPr>
        <w:ind w:left="360"/>
      </w:pPr>
    </w:p>
    <w:p w:rsidR="00A41CB2" w:rsidRDefault="00A41CB2" w:rsidP="00FF63FE"/>
    <w:p w:rsidR="00A41CB2" w:rsidRDefault="00A41CB2" w:rsidP="00A41CB2"/>
    <w:p w:rsidR="00A41CB2" w:rsidRDefault="00A41CB2" w:rsidP="00A41CB2">
      <w:pPr>
        <w:jc w:val="both"/>
      </w:pPr>
    </w:p>
    <w:p w:rsidR="00A41CB2" w:rsidRPr="00A41CB2" w:rsidRDefault="00A41CB2" w:rsidP="00A41CB2">
      <w:pPr>
        <w:jc w:val="both"/>
        <w:rPr>
          <w:b/>
          <w:u w:val="single"/>
        </w:rPr>
      </w:pPr>
      <w:r w:rsidRPr="00A41CB2">
        <w:rPr>
          <w:b/>
          <w:u w:val="single"/>
        </w:rPr>
        <w:lastRenderedPageBreak/>
        <w:t>Appendix</w:t>
      </w:r>
    </w:p>
    <w:p w:rsidR="00A41CB2" w:rsidRDefault="00A41CB2" w:rsidP="00A41CB2">
      <w:pPr>
        <w:jc w:val="both"/>
      </w:pPr>
    </w:p>
    <w:p w:rsidR="00A41CB2" w:rsidRDefault="00A41CB2" w:rsidP="00A41CB2">
      <w:pPr>
        <w:jc w:val="both"/>
      </w:pPr>
      <w:r>
        <w:t>Word clouds of most common words.</w:t>
      </w:r>
    </w:p>
    <w:p w:rsidR="00A41CB2" w:rsidRDefault="00B6073B" w:rsidP="00A41CB2">
      <w:pPr>
        <w:jc w:val="both"/>
      </w:pPr>
      <w:r>
        <w:rPr>
          <w:noProof/>
        </w:rPr>
        <w:drawing>
          <wp:inline distT="0" distB="0" distL="0" distR="0">
            <wp:extent cx="5943600" cy="3150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rge word cloud_full(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150235"/>
                    </a:xfrm>
                    <a:prstGeom prst="rect">
                      <a:avLst/>
                    </a:prstGeom>
                  </pic:spPr>
                </pic:pic>
              </a:graphicData>
            </a:graphic>
          </wp:inline>
        </w:drawing>
      </w:r>
      <w:r>
        <w:rPr>
          <w:noProof/>
        </w:rPr>
        <w:drawing>
          <wp:inline distT="0" distB="0" distL="0" distR="0">
            <wp:extent cx="4852506" cy="25405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mall word cloud_full(1).png"/>
                    <pic:cNvPicPr/>
                  </pic:nvPicPr>
                  <pic:blipFill>
                    <a:blip r:embed="rId9">
                      <a:extLst>
                        <a:ext uri="{28A0092B-C50C-407E-A947-70E740481C1C}">
                          <a14:useLocalDpi xmlns:a14="http://schemas.microsoft.com/office/drawing/2010/main" val="0"/>
                        </a:ext>
                      </a:extLst>
                    </a:blip>
                    <a:stretch>
                      <a:fillRect/>
                    </a:stretch>
                  </pic:blipFill>
                  <pic:spPr>
                    <a:xfrm>
                      <a:off x="0" y="0"/>
                      <a:ext cx="4852506" cy="2540579"/>
                    </a:xfrm>
                    <a:prstGeom prst="rect">
                      <a:avLst/>
                    </a:prstGeom>
                  </pic:spPr>
                </pic:pic>
              </a:graphicData>
            </a:graphic>
          </wp:inline>
        </w:drawing>
      </w:r>
    </w:p>
    <w:p w:rsidR="00A41CB2" w:rsidRDefault="00A41CB2" w:rsidP="00A41CB2">
      <w:pPr>
        <w:jc w:val="both"/>
      </w:pPr>
    </w:p>
    <w:p w:rsidR="00A41CB2" w:rsidRPr="0091061F" w:rsidRDefault="00A41CB2" w:rsidP="00FF63FE"/>
    <w:sectPr w:rsidR="00A41CB2" w:rsidRPr="00910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01CE1"/>
    <w:multiLevelType w:val="hybridMultilevel"/>
    <w:tmpl w:val="36FE2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36EB3"/>
    <w:multiLevelType w:val="hybridMultilevel"/>
    <w:tmpl w:val="4426E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27"/>
    <w:rsid w:val="00041487"/>
    <w:rsid w:val="0014263A"/>
    <w:rsid w:val="00183E21"/>
    <w:rsid w:val="00225C0A"/>
    <w:rsid w:val="002404FC"/>
    <w:rsid w:val="0024520A"/>
    <w:rsid w:val="0032547D"/>
    <w:rsid w:val="00414427"/>
    <w:rsid w:val="004245F3"/>
    <w:rsid w:val="00450EA4"/>
    <w:rsid w:val="00466203"/>
    <w:rsid w:val="005B662E"/>
    <w:rsid w:val="005C70F4"/>
    <w:rsid w:val="00665E09"/>
    <w:rsid w:val="006A7DAF"/>
    <w:rsid w:val="006B0CF0"/>
    <w:rsid w:val="006E77ED"/>
    <w:rsid w:val="007C3302"/>
    <w:rsid w:val="007E3127"/>
    <w:rsid w:val="00862311"/>
    <w:rsid w:val="0091061F"/>
    <w:rsid w:val="00932B3C"/>
    <w:rsid w:val="009414F7"/>
    <w:rsid w:val="00943147"/>
    <w:rsid w:val="00964DF0"/>
    <w:rsid w:val="009D0753"/>
    <w:rsid w:val="009E1EBE"/>
    <w:rsid w:val="00A372D7"/>
    <w:rsid w:val="00A41CB2"/>
    <w:rsid w:val="00AD5C0E"/>
    <w:rsid w:val="00B6073B"/>
    <w:rsid w:val="00B84284"/>
    <w:rsid w:val="00BE74B7"/>
    <w:rsid w:val="00BF26ED"/>
    <w:rsid w:val="00BF7872"/>
    <w:rsid w:val="00C129BC"/>
    <w:rsid w:val="00CD57A8"/>
    <w:rsid w:val="00CF6F97"/>
    <w:rsid w:val="00E31BC2"/>
    <w:rsid w:val="00E4452F"/>
    <w:rsid w:val="00E636C4"/>
    <w:rsid w:val="00F822F0"/>
    <w:rsid w:val="00FD35DC"/>
    <w:rsid w:val="00FF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CE77A-DC90-4EE2-8940-0CCA1059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5421">
      <w:bodyDiv w:val="1"/>
      <w:marLeft w:val="0"/>
      <w:marRight w:val="0"/>
      <w:marTop w:val="0"/>
      <w:marBottom w:val="0"/>
      <w:divBdr>
        <w:top w:val="none" w:sz="0" w:space="0" w:color="auto"/>
        <w:left w:val="none" w:sz="0" w:space="0" w:color="auto"/>
        <w:bottom w:val="none" w:sz="0" w:space="0" w:color="auto"/>
        <w:right w:val="none" w:sz="0" w:space="0" w:color="auto"/>
      </w:divBdr>
    </w:div>
    <w:div w:id="154535340">
      <w:bodyDiv w:val="1"/>
      <w:marLeft w:val="0"/>
      <w:marRight w:val="0"/>
      <w:marTop w:val="0"/>
      <w:marBottom w:val="0"/>
      <w:divBdr>
        <w:top w:val="none" w:sz="0" w:space="0" w:color="auto"/>
        <w:left w:val="none" w:sz="0" w:space="0" w:color="auto"/>
        <w:bottom w:val="none" w:sz="0" w:space="0" w:color="auto"/>
        <w:right w:val="none" w:sz="0" w:space="0" w:color="auto"/>
      </w:divBdr>
    </w:div>
    <w:div w:id="655718913">
      <w:bodyDiv w:val="1"/>
      <w:marLeft w:val="0"/>
      <w:marRight w:val="0"/>
      <w:marTop w:val="0"/>
      <w:marBottom w:val="0"/>
      <w:divBdr>
        <w:top w:val="none" w:sz="0" w:space="0" w:color="auto"/>
        <w:left w:val="none" w:sz="0" w:space="0" w:color="auto"/>
        <w:bottom w:val="none" w:sz="0" w:space="0" w:color="auto"/>
        <w:right w:val="none" w:sz="0" w:space="0" w:color="auto"/>
      </w:divBdr>
    </w:div>
    <w:div w:id="792752827">
      <w:bodyDiv w:val="1"/>
      <w:marLeft w:val="0"/>
      <w:marRight w:val="0"/>
      <w:marTop w:val="0"/>
      <w:marBottom w:val="0"/>
      <w:divBdr>
        <w:top w:val="none" w:sz="0" w:space="0" w:color="auto"/>
        <w:left w:val="none" w:sz="0" w:space="0" w:color="auto"/>
        <w:bottom w:val="none" w:sz="0" w:space="0" w:color="auto"/>
        <w:right w:val="none" w:sz="0" w:space="0" w:color="auto"/>
      </w:divBdr>
    </w:div>
    <w:div w:id="960458374">
      <w:bodyDiv w:val="1"/>
      <w:marLeft w:val="0"/>
      <w:marRight w:val="0"/>
      <w:marTop w:val="0"/>
      <w:marBottom w:val="0"/>
      <w:divBdr>
        <w:top w:val="none" w:sz="0" w:space="0" w:color="auto"/>
        <w:left w:val="none" w:sz="0" w:space="0" w:color="auto"/>
        <w:bottom w:val="none" w:sz="0" w:space="0" w:color="auto"/>
        <w:right w:val="none" w:sz="0" w:space="0" w:color="auto"/>
      </w:divBdr>
    </w:div>
    <w:div w:id="1358896755">
      <w:bodyDiv w:val="1"/>
      <w:marLeft w:val="0"/>
      <w:marRight w:val="0"/>
      <w:marTop w:val="0"/>
      <w:marBottom w:val="0"/>
      <w:divBdr>
        <w:top w:val="none" w:sz="0" w:space="0" w:color="auto"/>
        <w:left w:val="none" w:sz="0" w:space="0" w:color="auto"/>
        <w:bottom w:val="none" w:sz="0" w:space="0" w:color="auto"/>
        <w:right w:val="none" w:sz="0" w:space="0" w:color="auto"/>
      </w:divBdr>
    </w:div>
    <w:div w:id="1438523216">
      <w:bodyDiv w:val="1"/>
      <w:marLeft w:val="0"/>
      <w:marRight w:val="0"/>
      <w:marTop w:val="0"/>
      <w:marBottom w:val="0"/>
      <w:divBdr>
        <w:top w:val="none" w:sz="0" w:space="0" w:color="auto"/>
        <w:left w:val="none" w:sz="0" w:space="0" w:color="auto"/>
        <w:bottom w:val="none" w:sz="0" w:space="0" w:color="auto"/>
        <w:right w:val="none" w:sz="0" w:space="0" w:color="auto"/>
      </w:divBdr>
    </w:div>
    <w:div w:id="1782797251">
      <w:bodyDiv w:val="1"/>
      <w:marLeft w:val="0"/>
      <w:marRight w:val="0"/>
      <w:marTop w:val="0"/>
      <w:marBottom w:val="0"/>
      <w:divBdr>
        <w:top w:val="none" w:sz="0" w:space="0" w:color="auto"/>
        <w:left w:val="none" w:sz="0" w:space="0" w:color="auto"/>
        <w:bottom w:val="none" w:sz="0" w:space="0" w:color="auto"/>
        <w:right w:val="none" w:sz="0" w:space="0" w:color="auto"/>
      </w:divBdr>
    </w:div>
    <w:div w:id="1914852565">
      <w:bodyDiv w:val="1"/>
      <w:marLeft w:val="0"/>
      <w:marRight w:val="0"/>
      <w:marTop w:val="0"/>
      <w:marBottom w:val="0"/>
      <w:divBdr>
        <w:top w:val="none" w:sz="0" w:space="0" w:color="auto"/>
        <w:left w:val="none" w:sz="0" w:space="0" w:color="auto"/>
        <w:bottom w:val="none" w:sz="0" w:space="0" w:color="auto"/>
        <w:right w:val="none" w:sz="0" w:space="0" w:color="auto"/>
      </w:divBdr>
    </w:div>
    <w:div w:id="21003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llsj.ADMIN\Desktop\barton\IR\Ad%20Hoc%20Data%20Request\MaturityScaleCompiledDataBoardENDs2017and2018_Word%20Analysis_Ful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Responses</a:t>
            </a:r>
            <a:r>
              <a:rPr lang="en-US" baseline="0"/>
              <a:t> vs Possible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Analysis!$J$4</c:f>
              <c:strCache>
                <c:ptCount val="1"/>
                <c:pt idx="0">
                  <c:v>Where</c:v>
                </c:pt>
              </c:strCache>
            </c:strRef>
          </c:tx>
          <c:spPr>
            <a:solidFill>
              <a:schemeClr val="accent1"/>
            </a:solidFill>
            <a:ln>
              <a:noFill/>
            </a:ln>
            <a:effectLst/>
            <a:scene3d>
              <a:camera prst="orthographicFront"/>
              <a:lightRig rig="threePt" dir="t"/>
            </a:scene3d>
            <a:sp3d>
              <a:bevelT/>
            </a:sp3d>
          </c:spPr>
          <c:invertIfNegative val="0"/>
          <c:cat>
            <c:strRef>
              <c:f>Analysis!$I$5:$I$12</c:f>
              <c:strCache>
                <c:ptCount val="8"/>
                <c:pt idx="0">
                  <c:v>End 1</c:v>
                </c:pt>
                <c:pt idx="1">
                  <c:v>End 2</c:v>
                </c:pt>
                <c:pt idx="2">
                  <c:v>End 3</c:v>
                </c:pt>
                <c:pt idx="3">
                  <c:v>End 4</c:v>
                </c:pt>
                <c:pt idx="4">
                  <c:v>End 5</c:v>
                </c:pt>
                <c:pt idx="5">
                  <c:v>End 6</c:v>
                </c:pt>
                <c:pt idx="6">
                  <c:v>End 7</c:v>
                </c:pt>
                <c:pt idx="7">
                  <c:v>End 8</c:v>
                </c:pt>
              </c:strCache>
            </c:strRef>
          </c:cat>
          <c:val>
            <c:numRef>
              <c:f>Analysis!$J$5:$J$12</c:f>
              <c:numCache>
                <c:formatCode>General</c:formatCode>
                <c:ptCount val="8"/>
                <c:pt idx="0">
                  <c:v>122</c:v>
                </c:pt>
                <c:pt idx="1">
                  <c:v>46</c:v>
                </c:pt>
                <c:pt idx="2">
                  <c:v>61</c:v>
                </c:pt>
                <c:pt idx="3">
                  <c:v>59</c:v>
                </c:pt>
                <c:pt idx="4">
                  <c:v>31</c:v>
                </c:pt>
                <c:pt idx="5">
                  <c:v>11</c:v>
                </c:pt>
                <c:pt idx="6">
                  <c:v>13</c:v>
                </c:pt>
                <c:pt idx="7">
                  <c:v>13</c:v>
                </c:pt>
              </c:numCache>
            </c:numRef>
          </c:val>
          <c:extLst>
            <c:ext xmlns:c16="http://schemas.microsoft.com/office/drawing/2014/chart" uri="{C3380CC4-5D6E-409C-BE32-E72D297353CC}">
              <c16:uniqueId val="{00000000-E27F-4FB2-A25D-58048D233ECD}"/>
            </c:ext>
          </c:extLst>
        </c:ser>
        <c:ser>
          <c:idx val="1"/>
          <c:order val="1"/>
          <c:tx>
            <c:strRef>
              <c:f>Analysis!$K$4</c:f>
              <c:strCache>
                <c:ptCount val="1"/>
                <c:pt idx="0">
                  <c:v>Move</c:v>
                </c:pt>
              </c:strCache>
            </c:strRef>
          </c:tx>
          <c:spPr>
            <a:solidFill>
              <a:schemeClr val="accent2"/>
            </a:solidFill>
            <a:ln>
              <a:noFill/>
            </a:ln>
            <a:effectLst/>
            <a:scene3d>
              <a:camera prst="orthographicFront"/>
              <a:lightRig rig="threePt" dir="t"/>
            </a:scene3d>
            <a:sp3d>
              <a:bevelT/>
            </a:sp3d>
          </c:spPr>
          <c:invertIfNegative val="0"/>
          <c:cat>
            <c:strRef>
              <c:f>Analysis!$I$5:$I$12</c:f>
              <c:strCache>
                <c:ptCount val="8"/>
                <c:pt idx="0">
                  <c:v>End 1</c:v>
                </c:pt>
                <c:pt idx="1">
                  <c:v>End 2</c:v>
                </c:pt>
                <c:pt idx="2">
                  <c:v>End 3</c:v>
                </c:pt>
                <c:pt idx="3">
                  <c:v>End 4</c:v>
                </c:pt>
                <c:pt idx="4">
                  <c:v>End 5</c:v>
                </c:pt>
                <c:pt idx="5">
                  <c:v>End 6</c:v>
                </c:pt>
                <c:pt idx="6">
                  <c:v>End 7</c:v>
                </c:pt>
                <c:pt idx="7">
                  <c:v>End 8</c:v>
                </c:pt>
              </c:strCache>
            </c:strRef>
          </c:cat>
          <c:val>
            <c:numRef>
              <c:f>Analysis!$K$5:$K$12</c:f>
              <c:numCache>
                <c:formatCode>General</c:formatCode>
                <c:ptCount val="8"/>
                <c:pt idx="0">
                  <c:v>111</c:v>
                </c:pt>
                <c:pt idx="1">
                  <c:v>64</c:v>
                </c:pt>
                <c:pt idx="2">
                  <c:v>84</c:v>
                </c:pt>
                <c:pt idx="3">
                  <c:v>55</c:v>
                </c:pt>
                <c:pt idx="4">
                  <c:v>37</c:v>
                </c:pt>
                <c:pt idx="5">
                  <c:v>23</c:v>
                </c:pt>
                <c:pt idx="6">
                  <c:v>13</c:v>
                </c:pt>
                <c:pt idx="7">
                  <c:v>11</c:v>
                </c:pt>
              </c:numCache>
            </c:numRef>
          </c:val>
          <c:extLst>
            <c:ext xmlns:c16="http://schemas.microsoft.com/office/drawing/2014/chart" uri="{C3380CC4-5D6E-409C-BE32-E72D297353CC}">
              <c16:uniqueId val="{00000001-E27F-4FB2-A25D-58048D233ECD}"/>
            </c:ext>
          </c:extLst>
        </c:ser>
        <c:ser>
          <c:idx val="2"/>
          <c:order val="2"/>
          <c:tx>
            <c:strRef>
              <c:f>Analysis!$L$4</c:f>
              <c:strCache>
                <c:ptCount val="1"/>
                <c:pt idx="0">
                  <c:v>Possible</c:v>
                </c:pt>
              </c:strCache>
            </c:strRef>
          </c:tx>
          <c:spPr>
            <a:solidFill>
              <a:schemeClr val="accent3"/>
            </a:solidFill>
            <a:ln>
              <a:noFill/>
            </a:ln>
            <a:effectLst/>
            <a:scene3d>
              <a:camera prst="orthographicFront"/>
              <a:lightRig rig="threePt" dir="t"/>
            </a:scene3d>
            <a:sp3d>
              <a:bevelT/>
            </a:sp3d>
          </c:spPr>
          <c:invertIfNegative val="0"/>
          <c:cat>
            <c:strRef>
              <c:f>Analysis!$I$5:$I$12</c:f>
              <c:strCache>
                <c:ptCount val="8"/>
                <c:pt idx="0">
                  <c:v>End 1</c:v>
                </c:pt>
                <c:pt idx="1">
                  <c:v>End 2</c:v>
                </c:pt>
                <c:pt idx="2">
                  <c:v>End 3</c:v>
                </c:pt>
                <c:pt idx="3">
                  <c:v>End 4</c:v>
                </c:pt>
                <c:pt idx="4">
                  <c:v>End 5</c:v>
                </c:pt>
                <c:pt idx="5">
                  <c:v>End 6</c:v>
                </c:pt>
                <c:pt idx="6">
                  <c:v>End 7</c:v>
                </c:pt>
                <c:pt idx="7">
                  <c:v>End 8</c:v>
                </c:pt>
              </c:strCache>
            </c:strRef>
          </c:cat>
          <c:val>
            <c:numRef>
              <c:f>Analysis!$L$5:$L$12</c:f>
              <c:numCache>
                <c:formatCode>General</c:formatCode>
                <c:ptCount val="8"/>
                <c:pt idx="0">
                  <c:v>389</c:v>
                </c:pt>
                <c:pt idx="1">
                  <c:v>258</c:v>
                </c:pt>
                <c:pt idx="2">
                  <c:v>360</c:v>
                </c:pt>
                <c:pt idx="3">
                  <c:v>313</c:v>
                </c:pt>
                <c:pt idx="4">
                  <c:v>315</c:v>
                </c:pt>
                <c:pt idx="5">
                  <c:v>302</c:v>
                </c:pt>
                <c:pt idx="6">
                  <c:v>314</c:v>
                </c:pt>
                <c:pt idx="7">
                  <c:v>133</c:v>
                </c:pt>
              </c:numCache>
            </c:numRef>
          </c:val>
          <c:extLst>
            <c:ext xmlns:c16="http://schemas.microsoft.com/office/drawing/2014/chart" uri="{C3380CC4-5D6E-409C-BE32-E72D297353CC}">
              <c16:uniqueId val="{00000002-E27F-4FB2-A25D-58048D233ECD}"/>
            </c:ext>
          </c:extLst>
        </c:ser>
        <c:dLbls>
          <c:showLegendKey val="0"/>
          <c:showVal val="0"/>
          <c:showCatName val="0"/>
          <c:showSerName val="0"/>
          <c:showPercent val="0"/>
          <c:showBubbleSize val="0"/>
        </c:dLbls>
        <c:gapWidth val="219"/>
        <c:overlap val="-27"/>
        <c:axId val="473462048"/>
        <c:axId val="477754512"/>
      </c:barChart>
      <c:catAx>
        <c:axId val="47346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754512"/>
        <c:crosses val="autoZero"/>
        <c:auto val="1"/>
        <c:lblAlgn val="ctr"/>
        <c:lblOffset val="100"/>
        <c:noMultiLvlLbl val="0"/>
      </c:catAx>
      <c:valAx>
        <c:axId val="477754512"/>
        <c:scaling>
          <c:orientation val="minMax"/>
          <c:max val="36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6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Jeffrey</dc:creator>
  <cp:keywords/>
  <dc:description/>
  <cp:lastModifiedBy>Charles Perkins</cp:lastModifiedBy>
  <cp:revision>2</cp:revision>
  <dcterms:created xsi:type="dcterms:W3CDTF">2018-05-11T13:48:00Z</dcterms:created>
  <dcterms:modified xsi:type="dcterms:W3CDTF">2018-05-11T13:48:00Z</dcterms:modified>
</cp:coreProperties>
</file>