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BB64" w14:textId="0D89B161" w:rsidR="004B0EC7" w:rsidRDefault="004B0EC7" w:rsidP="00F94626">
      <w:bookmarkStart w:id="0" w:name="_GoBack"/>
      <w:bookmarkEnd w:id="0"/>
      <w:r>
        <w:t>Data for retention, persistence, and completion. 04/</w:t>
      </w:r>
      <w:r w:rsidR="00AE7DDF">
        <w:t>15</w:t>
      </w:r>
      <w:r>
        <w:t>/2019</w:t>
      </w:r>
    </w:p>
    <w:p w14:paraId="18B40EDB" w14:textId="4EAA9F28" w:rsidR="004B0EC7" w:rsidRDefault="004B0EC7" w:rsidP="00F94626"/>
    <w:p w14:paraId="02A892D5" w14:textId="2399F552" w:rsidR="004B0EC7" w:rsidRDefault="004B0EC7" w:rsidP="00F94626">
      <w:r>
        <w:t xml:space="preserve">Could be used to meet HLC </w:t>
      </w:r>
      <w:hyperlink r:id="rId5" w:history="1">
        <w:r w:rsidRPr="004B0EC7">
          <w:rPr>
            <w:rStyle w:val="Hyperlink"/>
          </w:rPr>
          <w:t>Defining Student Success Data</w:t>
        </w:r>
      </w:hyperlink>
      <w:r>
        <w:t>.</w:t>
      </w:r>
    </w:p>
    <w:p w14:paraId="6644B5D1" w14:textId="646510D8" w:rsidR="004B0EC7" w:rsidRDefault="004B0EC7" w:rsidP="00F94626"/>
    <w:p w14:paraId="4CBF633D" w14:textId="77777777" w:rsidR="004B0EC7" w:rsidRDefault="004B0EC7" w:rsidP="00F94626"/>
    <w:p w14:paraId="6C0042AA" w14:textId="5FFA993E" w:rsidR="00F94626" w:rsidRDefault="00F94626" w:rsidP="00F94626">
      <w:r>
        <w:t xml:space="preserve">From IPEDS - </w:t>
      </w:r>
      <w:r w:rsidRPr="002A41BA">
        <w:rPr>
          <w:b/>
        </w:rPr>
        <w:t>Retention rate</w:t>
      </w:r>
      <w:r>
        <w:t xml:space="preserve"> - </w:t>
      </w:r>
      <w:hyperlink r:id="rId6" w:history="1">
        <w:r w:rsidRPr="00577166">
          <w:rPr>
            <w:rStyle w:val="Hyperlink"/>
          </w:rPr>
          <w:t>https://surveys.nces.ed.gov/ipeds/VisGlossaryPopup.aspx?idlink=772</w:t>
        </w:r>
      </w:hyperlink>
      <w:r>
        <w:t xml:space="preserve"> </w:t>
      </w:r>
    </w:p>
    <w:p w14:paraId="610A55B0" w14:textId="77777777" w:rsidR="00F94626" w:rsidRDefault="00F94626" w:rsidP="00F94626">
      <w:r>
        <w:tab/>
      </w:r>
    </w:p>
    <w:p w14:paraId="64862A5C" w14:textId="77777777" w:rsidR="00A44F36" w:rsidRDefault="00F94626" w:rsidP="00F94626">
      <w:r>
        <w:t>A measure of the rate at which students persist in their educational program at an institution, expressed as a percentage. For four-year institutions, this is the percentage of first-time bachelors (or equivalent) degree-seeking undergraduates from the previous fall who are again enrolled in the current fall. For all other institutions this is the percentage of first-time degree/certificate-seeking students from the previous fall who either re-enrolled or successfully completed their program by the current fall.</w:t>
      </w:r>
    </w:p>
    <w:p w14:paraId="0A13FB12" w14:textId="77777777" w:rsidR="00F94626" w:rsidRDefault="00F94626" w:rsidP="00F94626"/>
    <w:p w14:paraId="0DFB6054" w14:textId="22C9FC5E" w:rsidR="008053D8" w:rsidRDefault="008053D8" w:rsidP="00F94626">
      <w:r>
        <w:t>Fall 2012 to Fall 2013</w:t>
      </w:r>
      <w:r>
        <w:tab/>
      </w:r>
      <w:r>
        <w:tab/>
        <w:t>IPEDS Comparison Group – 55%</w:t>
      </w:r>
      <w:r>
        <w:tab/>
        <w:t>Barton – 60%</w:t>
      </w:r>
      <w:r w:rsidR="00AE7DDF">
        <w:tab/>
      </w:r>
      <w:r w:rsidR="00AE7DDF">
        <w:sym w:font="Symbol" w:char="F0AD"/>
      </w:r>
    </w:p>
    <w:p w14:paraId="0618F998" w14:textId="61FCD3FF" w:rsidR="00033A04" w:rsidRDefault="00033A04" w:rsidP="00F94626">
      <w:r>
        <w:t>Fall 2013 to Fall 2014</w:t>
      </w:r>
      <w:r w:rsidR="002924E7">
        <w:tab/>
      </w:r>
      <w:r w:rsidR="002924E7">
        <w:tab/>
        <w:t>IPEDS</w:t>
      </w:r>
      <w:r w:rsidR="008053D8">
        <w:t xml:space="preserve"> Comparison Group – 55%</w:t>
      </w:r>
      <w:r w:rsidR="008053D8">
        <w:tab/>
        <w:t>Barton – 54%</w:t>
      </w:r>
      <w:r w:rsidR="00AE7DDF">
        <w:tab/>
      </w:r>
      <w:r w:rsidR="00AE7DDF">
        <w:sym w:font="Symbol" w:char="F0AF"/>
      </w:r>
    </w:p>
    <w:p w14:paraId="3D1B5FE1" w14:textId="5BA7808F" w:rsidR="00033A04" w:rsidRDefault="00033A04" w:rsidP="00F94626">
      <w:r>
        <w:t>Fall 2014 to Fall 2015</w:t>
      </w:r>
      <w:r w:rsidR="008053D8">
        <w:tab/>
      </w:r>
      <w:r w:rsidR="008053D8">
        <w:tab/>
        <w:t>IPEDS Comparison Group – 57%</w:t>
      </w:r>
      <w:r w:rsidR="008053D8">
        <w:tab/>
        <w:t>Barton – 53%</w:t>
      </w:r>
      <w:r w:rsidR="00AE7DDF">
        <w:tab/>
      </w:r>
      <w:r w:rsidR="00AE7DDF">
        <w:sym w:font="Symbol" w:char="F0AF"/>
      </w:r>
      <w:r w:rsidR="00AE7DDF">
        <w:tab/>
      </w:r>
    </w:p>
    <w:p w14:paraId="3B938761" w14:textId="314592DA" w:rsidR="00F94626" w:rsidRDefault="00F94626" w:rsidP="00F94626">
      <w:r>
        <w:t>Fall 2015 to Fall 2016</w:t>
      </w:r>
      <w:r w:rsidR="008053D8">
        <w:tab/>
      </w:r>
      <w:r w:rsidR="008053D8">
        <w:tab/>
        <w:t>IPEDS Comparison Group – 57%</w:t>
      </w:r>
      <w:r w:rsidR="008053D8">
        <w:tab/>
        <w:t>Barton – 55%</w:t>
      </w:r>
      <w:r w:rsidR="00AE7DDF">
        <w:tab/>
      </w:r>
      <w:r w:rsidR="00AE7DDF">
        <w:sym w:font="Symbol" w:char="F0AF"/>
      </w:r>
    </w:p>
    <w:p w14:paraId="25BD63AA" w14:textId="357A4C8E" w:rsidR="00F94626" w:rsidRDefault="00F94626" w:rsidP="00F94626">
      <w:r>
        <w:t>Fall 2016 to Fall 2017</w:t>
      </w:r>
      <w:r w:rsidR="008053D8">
        <w:tab/>
      </w:r>
      <w:r w:rsidR="008053D8">
        <w:tab/>
        <w:t>IPEDS Comparison Group – 59%</w:t>
      </w:r>
      <w:r w:rsidR="008053D8">
        <w:tab/>
        <w:t>Barton – 56%</w:t>
      </w:r>
      <w:r w:rsidR="00AE7DDF">
        <w:tab/>
      </w:r>
      <w:r w:rsidR="00AE7DDF">
        <w:sym w:font="Symbol" w:char="F0AF"/>
      </w:r>
    </w:p>
    <w:p w14:paraId="76853FC6" w14:textId="77777777" w:rsidR="00F94626" w:rsidRDefault="00F94626" w:rsidP="00F94626"/>
    <w:p w14:paraId="70EC75F4" w14:textId="67E483A0" w:rsidR="00F94626" w:rsidRPr="004B0EC7" w:rsidRDefault="00F94626" w:rsidP="00F94626">
      <w:r>
        <w:t xml:space="preserve">From </w:t>
      </w:r>
      <w:r w:rsidR="00033A04">
        <w:t>KBOR</w:t>
      </w:r>
      <w:r>
        <w:t xml:space="preserve"> – </w:t>
      </w:r>
      <w:r w:rsidRPr="002A41BA">
        <w:rPr>
          <w:b/>
        </w:rPr>
        <w:t>Persistence</w:t>
      </w:r>
      <w:r w:rsidR="004B0EC7">
        <w:t xml:space="preserve"> from </w:t>
      </w:r>
      <w:hyperlink r:id="rId7" w:history="1">
        <w:r w:rsidR="004B0EC7" w:rsidRPr="004B0EC7">
          <w:rPr>
            <w:rStyle w:val="Hyperlink"/>
          </w:rPr>
          <w:t>KBOR Student Success Data</w:t>
        </w:r>
      </w:hyperlink>
      <w:r w:rsidR="004B0EC7">
        <w:t>.</w:t>
      </w:r>
    </w:p>
    <w:p w14:paraId="5D32ED40" w14:textId="77777777" w:rsidR="00F94626" w:rsidRDefault="00F94626" w:rsidP="00F94626"/>
    <w:p w14:paraId="791F918C" w14:textId="77777777" w:rsidR="00DE4D7F" w:rsidRDefault="00F94626" w:rsidP="00F94626">
      <w:r w:rsidRPr="00DE4D7F">
        <w:t>Defined in this report as continued enrollment (or degree completion) at any higher education institution — including one different from the institution of initial enrollment — in the fall semesters of a student’s first and second year.</w:t>
      </w:r>
      <w:r w:rsidR="00943669" w:rsidRPr="00DE4D7F">
        <w:t xml:space="preserve"> </w:t>
      </w:r>
    </w:p>
    <w:p w14:paraId="05C49CE6" w14:textId="57A89316" w:rsidR="00F94626" w:rsidRPr="00DE4D7F" w:rsidRDefault="00943669" w:rsidP="00F94626">
      <w:r w:rsidRPr="00DE4D7F">
        <w:t>First Time, Degree-seeking, Full Time, After 3 years.</w:t>
      </w:r>
    </w:p>
    <w:p w14:paraId="7DC13CAF" w14:textId="6A333217" w:rsidR="00943669" w:rsidRPr="00DE4D7F" w:rsidRDefault="00943669" w:rsidP="00F94626">
      <w:r w:rsidRPr="00DE4D7F">
        <w:t>Retained either in Kansas Institutions or elsewhere.</w:t>
      </w:r>
    </w:p>
    <w:p w14:paraId="62C3E591" w14:textId="77777777" w:rsidR="00F94626" w:rsidRDefault="00F94626" w:rsidP="00F94626"/>
    <w:p w14:paraId="2939E524" w14:textId="47A395AC" w:rsidR="00033A04" w:rsidRPr="005643FF" w:rsidRDefault="005643FF" w:rsidP="00033A04">
      <w:pPr>
        <w:rPr>
          <w:strike/>
        </w:rPr>
      </w:pPr>
      <w:r w:rsidRPr="005643FF">
        <w:t>Entrance Year</w:t>
      </w:r>
      <w:r>
        <w:t xml:space="preserve"> 2011</w:t>
      </w:r>
      <w:r w:rsidR="00943669">
        <w:tab/>
        <w:t>KS CCs Average – 13.6%</w:t>
      </w:r>
      <w:r w:rsidR="00943669">
        <w:tab/>
        <w:t xml:space="preserve">Barton </w:t>
      </w:r>
      <w:r w:rsidR="00F13A22">
        <w:t>– 14.4%</w:t>
      </w:r>
      <w:r w:rsidR="00AE7DDF">
        <w:tab/>
      </w:r>
      <w:r w:rsidR="00AE7DDF">
        <w:sym w:font="Symbol" w:char="F0AD"/>
      </w:r>
      <w:r w:rsidR="00AE7DDF">
        <w:t xml:space="preserve"> </w:t>
      </w:r>
    </w:p>
    <w:p w14:paraId="353513A6" w14:textId="6623DE5D" w:rsidR="005643FF" w:rsidRPr="005643FF" w:rsidRDefault="005643FF" w:rsidP="00B77CBB">
      <w:r w:rsidRPr="005643FF">
        <w:t>Entrance Year</w:t>
      </w:r>
      <w:r>
        <w:t xml:space="preserve"> 2012</w:t>
      </w:r>
      <w:r w:rsidR="00943669">
        <w:tab/>
        <w:t>KS CCs Average – 13.0%</w:t>
      </w:r>
      <w:r w:rsidR="00943669">
        <w:tab/>
        <w:t>Barton</w:t>
      </w:r>
      <w:r w:rsidR="00F13A22">
        <w:t xml:space="preserve"> – 13.7%</w:t>
      </w:r>
      <w:r w:rsidR="00AE7DDF">
        <w:tab/>
      </w:r>
      <w:r w:rsidR="00AE7DDF">
        <w:sym w:font="Symbol" w:char="F0AD"/>
      </w:r>
    </w:p>
    <w:p w14:paraId="104AC67E" w14:textId="3CEA7D1E" w:rsidR="00B77CBB" w:rsidRPr="005643FF" w:rsidRDefault="005643FF" w:rsidP="00B77CBB">
      <w:pPr>
        <w:rPr>
          <w:strike/>
        </w:rPr>
      </w:pPr>
      <w:r w:rsidRPr="005643FF">
        <w:t>Entrance Year</w:t>
      </w:r>
      <w:r>
        <w:t xml:space="preserve"> 2013</w:t>
      </w:r>
      <w:r w:rsidR="00943669">
        <w:tab/>
        <w:t>KS CCs Average – 13.7%</w:t>
      </w:r>
      <w:r w:rsidR="00943669">
        <w:tab/>
      </w:r>
      <w:r w:rsidR="00F13A22">
        <w:t>Barton – 15.4%</w:t>
      </w:r>
      <w:r w:rsidR="00AE7DDF">
        <w:tab/>
      </w:r>
      <w:r w:rsidR="00AE7DDF">
        <w:sym w:font="Symbol" w:char="F0AD"/>
      </w:r>
    </w:p>
    <w:p w14:paraId="1FAD88F2" w14:textId="36927C5D" w:rsidR="00B77CBB" w:rsidRPr="005643FF" w:rsidRDefault="005643FF" w:rsidP="00B77CBB">
      <w:pPr>
        <w:rPr>
          <w:strike/>
        </w:rPr>
      </w:pPr>
      <w:r w:rsidRPr="005643FF">
        <w:t>Entrance Year</w:t>
      </w:r>
      <w:r>
        <w:t xml:space="preserve"> 2014</w:t>
      </w:r>
      <w:r w:rsidR="00943669">
        <w:tab/>
        <w:t>KS CCs Average – 13.4%</w:t>
      </w:r>
      <w:r w:rsidR="00F13A22">
        <w:tab/>
        <w:t>Barton – 15.3%</w:t>
      </w:r>
      <w:r w:rsidR="00AE7DDF">
        <w:tab/>
      </w:r>
      <w:r w:rsidR="00AE7DDF">
        <w:sym w:font="Symbol" w:char="F0AD"/>
      </w:r>
    </w:p>
    <w:p w14:paraId="5F6B7617" w14:textId="6D0C31E9" w:rsidR="00F94626" w:rsidRPr="005643FF" w:rsidRDefault="005643FF" w:rsidP="00B77CBB">
      <w:pPr>
        <w:rPr>
          <w:strike/>
        </w:rPr>
      </w:pPr>
      <w:r w:rsidRPr="005643FF">
        <w:t>Entrance Year</w:t>
      </w:r>
      <w:r>
        <w:t xml:space="preserve"> 2015</w:t>
      </w:r>
      <w:r w:rsidR="00943669">
        <w:tab/>
        <w:t xml:space="preserve">KS CCs Average – </w:t>
      </w:r>
      <w:r w:rsidR="00F13A22">
        <w:t>13.8</w:t>
      </w:r>
      <w:r w:rsidR="00943669">
        <w:t>%</w:t>
      </w:r>
      <w:r w:rsidR="00F13A22">
        <w:tab/>
        <w:t>Barton – 14.3%</w:t>
      </w:r>
      <w:r w:rsidR="00AE7DDF">
        <w:tab/>
      </w:r>
      <w:r w:rsidR="00AE7DDF">
        <w:sym w:font="Symbol" w:char="F0AD"/>
      </w:r>
    </w:p>
    <w:p w14:paraId="389E49D1" w14:textId="77777777" w:rsidR="00F94626" w:rsidRDefault="00F94626" w:rsidP="00F94626"/>
    <w:p w14:paraId="2B829B43" w14:textId="758F161C" w:rsidR="00B77CBB" w:rsidRDefault="00B77CBB" w:rsidP="00F94626">
      <w:r>
        <w:t xml:space="preserve">From IPEDS - </w:t>
      </w:r>
      <w:r w:rsidRPr="002A41BA">
        <w:rPr>
          <w:b/>
        </w:rPr>
        <w:t xml:space="preserve">Completions </w:t>
      </w:r>
      <w:r>
        <w:t>(C)</w:t>
      </w:r>
      <w:r w:rsidR="002A41BA">
        <w:t xml:space="preserve"> </w:t>
      </w:r>
      <w:hyperlink r:id="rId8" w:history="1">
        <w:r w:rsidR="002A41BA" w:rsidRPr="00B92832">
          <w:rPr>
            <w:rStyle w:val="Hyperlink"/>
          </w:rPr>
          <w:t>https://surveys.nces.ed.gov/ipeds/VisGlossaryAll.aspx</w:t>
        </w:r>
      </w:hyperlink>
      <w:r>
        <w:t xml:space="preserve"> </w:t>
      </w:r>
    </w:p>
    <w:p w14:paraId="4C8B25FE" w14:textId="77777777" w:rsidR="00B77CBB" w:rsidRDefault="00B77CBB" w:rsidP="00B77CBB"/>
    <w:p w14:paraId="113D5426" w14:textId="77777777" w:rsidR="00B77CBB" w:rsidRDefault="00B77CBB" w:rsidP="00B77CBB">
      <w:r>
        <w:t>This annual component of IPEDS collects number of degrees and other formal awards (certificates) conferred. These data are reported by level (associate's, bachelor's, master's, and doctor's), as well as by length of program for some. Both are reported by race/ethnicity and gender of recipient, and the field of study, using the Classification of Instructional Programs (CIP) code. Institutions report all degrees and other awards conferred during an entire academic year, from July 1 of one calendar year through June 30 of the following year. Completions data by race/ethnicity at the 2-digit CIP level became an annual collection in 1990; since the 1995 collection, race/ethnicity is collected at the 6-digit CIP level. In 2001, IPEDS began collecting completers of double majors by level, 6-digit CIP code, and by race/ethnicity and gender of recipient.</w:t>
      </w:r>
    </w:p>
    <w:p w14:paraId="78D1E53B" w14:textId="77777777" w:rsidR="00B77CBB" w:rsidRDefault="00B77CBB" w:rsidP="00B77CBB"/>
    <w:p w14:paraId="275407D0" w14:textId="77777777" w:rsidR="00B77CBB" w:rsidRDefault="00B77CBB" w:rsidP="00B77CBB">
      <w:r>
        <w:t>Cohort is students starting in fall</w:t>
      </w:r>
      <w:r w:rsidR="00E25A43">
        <w:t xml:space="preserve">, first time </w:t>
      </w:r>
      <w:r w:rsidR="00766743">
        <w:t>full (</w:t>
      </w:r>
      <w:r>
        <w:t>both full and part time).</w:t>
      </w:r>
    </w:p>
    <w:p w14:paraId="5DBC884F" w14:textId="42F00BC3" w:rsidR="00B77CBB" w:rsidRDefault="00B77CBB" w:rsidP="00B77CBB">
      <w:r>
        <w:t>100% of time</w:t>
      </w:r>
      <w:r w:rsidR="00AE7DDF">
        <w:tab/>
      </w:r>
      <w:r w:rsidR="00AE7DDF">
        <w:sym w:font="Symbol" w:char="F0AF"/>
      </w:r>
    </w:p>
    <w:p w14:paraId="24C61F0F" w14:textId="34CCC536" w:rsidR="00B77CBB" w:rsidRDefault="00B77CBB" w:rsidP="00B77CBB">
      <w:r>
        <w:t>150% of time</w:t>
      </w:r>
      <w:r w:rsidR="00AE7DDF">
        <w:tab/>
      </w:r>
      <w:r w:rsidR="00AE7DDF">
        <w:sym w:font="Symbol" w:char="F0AF"/>
      </w:r>
    </w:p>
    <w:p w14:paraId="5FA24C8D" w14:textId="279E37DF" w:rsidR="00B77CBB" w:rsidRDefault="00B77CBB" w:rsidP="00B77CBB">
      <w:r>
        <w:t>200% of time</w:t>
      </w:r>
      <w:r w:rsidR="00AE7DDF">
        <w:tab/>
      </w:r>
      <w:r w:rsidR="00AE7DDF">
        <w:sym w:font="Symbol" w:char="F0AF"/>
      </w:r>
    </w:p>
    <w:p w14:paraId="705FAFB6" w14:textId="77777777" w:rsidR="00B77CBB" w:rsidRDefault="00B77CBB" w:rsidP="00B77CBB"/>
    <w:p w14:paraId="15DFC3F8" w14:textId="70449BD4" w:rsidR="00033A04" w:rsidRDefault="00033A04" w:rsidP="00B77CBB">
      <w:r>
        <w:t>July 1</w:t>
      </w:r>
      <w:r w:rsidRPr="00033A04">
        <w:rPr>
          <w:vertAlign w:val="superscript"/>
        </w:rPr>
        <w:t>st</w:t>
      </w:r>
      <w:r>
        <w:t>, 2013 – June 30</w:t>
      </w:r>
      <w:r w:rsidRPr="00033A04">
        <w:rPr>
          <w:vertAlign w:val="superscript"/>
        </w:rPr>
        <w:t>th</w:t>
      </w:r>
      <w:r>
        <w:t>, 2014</w:t>
      </w:r>
    </w:p>
    <w:p w14:paraId="3E61E5F9" w14:textId="12D313E7" w:rsidR="00033A04" w:rsidRDefault="00033A04" w:rsidP="00B77CBB">
      <w:r>
        <w:t>July 1</w:t>
      </w:r>
      <w:r w:rsidRPr="00033A04">
        <w:rPr>
          <w:vertAlign w:val="superscript"/>
        </w:rPr>
        <w:t>st</w:t>
      </w:r>
      <w:r>
        <w:t>, 2014 – June 30</w:t>
      </w:r>
      <w:r w:rsidRPr="00033A04">
        <w:rPr>
          <w:vertAlign w:val="superscript"/>
        </w:rPr>
        <w:t>th</w:t>
      </w:r>
      <w:r>
        <w:t>, 2015</w:t>
      </w:r>
    </w:p>
    <w:p w14:paraId="21E4C7F0" w14:textId="446DABBA" w:rsidR="00B77CBB" w:rsidRDefault="00B77CBB" w:rsidP="00B77CBB">
      <w:r>
        <w:t>July 1</w:t>
      </w:r>
      <w:r w:rsidR="00E12593" w:rsidRPr="00E12593">
        <w:rPr>
          <w:vertAlign w:val="superscript"/>
        </w:rPr>
        <w:t>st</w:t>
      </w:r>
      <w:r w:rsidR="00766743">
        <w:t>, 2015</w:t>
      </w:r>
      <w:r>
        <w:t xml:space="preserve"> – June 30</w:t>
      </w:r>
      <w:r w:rsidRPr="00B77CBB">
        <w:rPr>
          <w:vertAlign w:val="superscript"/>
        </w:rPr>
        <w:t>th</w:t>
      </w:r>
      <w:r w:rsidR="00766743">
        <w:t>, 2016</w:t>
      </w:r>
    </w:p>
    <w:p w14:paraId="60D70E8A" w14:textId="77777777" w:rsidR="00B77CBB" w:rsidRDefault="00B77CBB" w:rsidP="00B77CBB">
      <w:r>
        <w:t>July 1</w:t>
      </w:r>
      <w:r w:rsidR="00E12593" w:rsidRPr="00E12593">
        <w:rPr>
          <w:vertAlign w:val="superscript"/>
        </w:rPr>
        <w:t>st</w:t>
      </w:r>
      <w:r w:rsidR="00766743">
        <w:t>, 2016</w:t>
      </w:r>
      <w:r>
        <w:t xml:space="preserve"> – June 30</w:t>
      </w:r>
      <w:r w:rsidRPr="00B77CBB">
        <w:rPr>
          <w:vertAlign w:val="superscript"/>
        </w:rPr>
        <w:t>th</w:t>
      </w:r>
      <w:r w:rsidR="00766743">
        <w:t>, 2017</w:t>
      </w:r>
    </w:p>
    <w:p w14:paraId="3555A17F" w14:textId="0D26A40D" w:rsidR="00B77CBB" w:rsidRDefault="00B77CBB" w:rsidP="00B77CBB">
      <w:r>
        <w:t>July 1</w:t>
      </w:r>
      <w:r w:rsidR="00E12593" w:rsidRPr="00E12593">
        <w:rPr>
          <w:vertAlign w:val="superscript"/>
        </w:rPr>
        <w:t>st</w:t>
      </w:r>
      <w:r w:rsidR="00766743">
        <w:t>, 2017</w:t>
      </w:r>
      <w:r>
        <w:t xml:space="preserve"> – June 30</w:t>
      </w:r>
      <w:r w:rsidRPr="00B77CBB">
        <w:rPr>
          <w:vertAlign w:val="superscript"/>
        </w:rPr>
        <w:t>th</w:t>
      </w:r>
      <w:r w:rsidR="00766743">
        <w:t>, 2018</w:t>
      </w:r>
    </w:p>
    <w:p w14:paraId="1E704B49" w14:textId="5504EAB6" w:rsidR="003B766C" w:rsidRDefault="003B766C" w:rsidP="00B77CBB"/>
    <w:tbl>
      <w:tblPr>
        <w:tblStyle w:val="TableGrid"/>
        <w:tblW w:w="0" w:type="auto"/>
        <w:tblLook w:val="04A0" w:firstRow="1" w:lastRow="0" w:firstColumn="1" w:lastColumn="0" w:noHBand="0" w:noVBand="1"/>
      </w:tblPr>
      <w:tblGrid>
        <w:gridCol w:w="3595"/>
        <w:gridCol w:w="958"/>
        <w:gridCol w:w="1389"/>
        <w:gridCol w:w="987"/>
        <w:gridCol w:w="1439"/>
        <w:gridCol w:w="1033"/>
        <w:gridCol w:w="1389"/>
      </w:tblGrid>
      <w:tr w:rsidR="003B766C" w14:paraId="0F683B73" w14:textId="77777777" w:rsidTr="003B766C">
        <w:tc>
          <w:tcPr>
            <w:tcW w:w="3595" w:type="dxa"/>
          </w:tcPr>
          <w:p w14:paraId="0CF28DDE" w14:textId="412C61FA" w:rsidR="003B766C" w:rsidRDefault="00F8288C" w:rsidP="00B77CBB">
            <w:r>
              <w:t>First Time- Full Time / Degree-Cert Seeking</w:t>
            </w:r>
          </w:p>
        </w:tc>
        <w:tc>
          <w:tcPr>
            <w:tcW w:w="958" w:type="dxa"/>
            <w:shd w:val="clear" w:color="auto" w:fill="D9D9D9" w:themeFill="background1" w:themeFillShade="D9"/>
          </w:tcPr>
          <w:p w14:paraId="5039285B" w14:textId="131CC170" w:rsidR="003B766C" w:rsidRDefault="003B766C" w:rsidP="00B77CBB">
            <w:r>
              <w:t>100%</w:t>
            </w:r>
          </w:p>
        </w:tc>
        <w:tc>
          <w:tcPr>
            <w:tcW w:w="1389" w:type="dxa"/>
            <w:shd w:val="clear" w:color="auto" w:fill="D9D9D9" w:themeFill="background1" w:themeFillShade="D9"/>
          </w:tcPr>
          <w:p w14:paraId="7BC9F18C" w14:textId="016755EE" w:rsidR="003B766C" w:rsidRDefault="003B766C" w:rsidP="00B77CBB">
            <w:r>
              <w:t>Comparison Group</w:t>
            </w:r>
          </w:p>
        </w:tc>
        <w:tc>
          <w:tcPr>
            <w:tcW w:w="987" w:type="dxa"/>
            <w:shd w:val="clear" w:color="auto" w:fill="FFF2CC" w:themeFill="accent4" w:themeFillTint="33"/>
          </w:tcPr>
          <w:p w14:paraId="3BCE196E" w14:textId="518BD07B" w:rsidR="003B766C" w:rsidRDefault="003B766C" w:rsidP="00B77CBB">
            <w:r>
              <w:t>150%</w:t>
            </w:r>
          </w:p>
        </w:tc>
        <w:tc>
          <w:tcPr>
            <w:tcW w:w="1439" w:type="dxa"/>
            <w:shd w:val="clear" w:color="auto" w:fill="FFF2CC" w:themeFill="accent4" w:themeFillTint="33"/>
          </w:tcPr>
          <w:p w14:paraId="1F40B2D0" w14:textId="25F17C4D" w:rsidR="003B766C" w:rsidRDefault="003B766C" w:rsidP="00B77CBB">
            <w:r>
              <w:t>Comparison Group</w:t>
            </w:r>
          </w:p>
        </w:tc>
        <w:tc>
          <w:tcPr>
            <w:tcW w:w="1033" w:type="dxa"/>
            <w:shd w:val="clear" w:color="auto" w:fill="BDD6EE" w:themeFill="accent5" w:themeFillTint="66"/>
          </w:tcPr>
          <w:p w14:paraId="6CB259CA" w14:textId="34B1ACD8" w:rsidR="003B766C" w:rsidRDefault="003B766C" w:rsidP="00B77CBB">
            <w:r>
              <w:t>200%</w:t>
            </w:r>
          </w:p>
        </w:tc>
        <w:tc>
          <w:tcPr>
            <w:tcW w:w="1389" w:type="dxa"/>
            <w:shd w:val="clear" w:color="auto" w:fill="BDD6EE" w:themeFill="accent5" w:themeFillTint="66"/>
          </w:tcPr>
          <w:p w14:paraId="4E46DBBA" w14:textId="7BB165FD" w:rsidR="003B766C" w:rsidRDefault="003B766C" w:rsidP="00B77CBB">
            <w:r>
              <w:t>Comparison Group</w:t>
            </w:r>
          </w:p>
        </w:tc>
      </w:tr>
      <w:tr w:rsidR="003B766C" w14:paraId="0951636B" w14:textId="77777777" w:rsidTr="003B766C">
        <w:tc>
          <w:tcPr>
            <w:tcW w:w="3595" w:type="dxa"/>
          </w:tcPr>
          <w:p w14:paraId="2CBD6C31" w14:textId="14C66FD4" w:rsidR="003B766C" w:rsidRDefault="003B766C" w:rsidP="00B77CBB">
            <w:r>
              <w:t>2011 cohort</w:t>
            </w:r>
            <w:r w:rsidR="002568EF">
              <w:t xml:space="preserve"> 2016 Feedback report</w:t>
            </w:r>
          </w:p>
        </w:tc>
        <w:tc>
          <w:tcPr>
            <w:tcW w:w="958" w:type="dxa"/>
            <w:shd w:val="clear" w:color="auto" w:fill="D9D9D9" w:themeFill="background1" w:themeFillShade="D9"/>
          </w:tcPr>
          <w:p w14:paraId="79EC5D3A" w14:textId="4AC3688A" w:rsidR="003B766C" w:rsidRDefault="003B766C" w:rsidP="00B77CBB">
            <w:r>
              <w:t>20%</w:t>
            </w:r>
          </w:p>
        </w:tc>
        <w:tc>
          <w:tcPr>
            <w:tcW w:w="1389" w:type="dxa"/>
            <w:shd w:val="clear" w:color="auto" w:fill="D9D9D9" w:themeFill="background1" w:themeFillShade="D9"/>
          </w:tcPr>
          <w:p w14:paraId="1602A392" w14:textId="1910C026" w:rsidR="003B766C" w:rsidRDefault="003B766C" w:rsidP="00B77CBB">
            <w:r>
              <w:t>24%</w:t>
            </w:r>
          </w:p>
        </w:tc>
        <w:tc>
          <w:tcPr>
            <w:tcW w:w="987" w:type="dxa"/>
            <w:shd w:val="clear" w:color="auto" w:fill="FFF2CC" w:themeFill="accent4" w:themeFillTint="33"/>
          </w:tcPr>
          <w:p w14:paraId="7BC17A92" w14:textId="7A00EF69" w:rsidR="003B766C" w:rsidRDefault="003B766C" w:rsidP="00B77CBB">
            <w:r>
              <w:t>28%</w:t>
            </w:r>
          </w:p>
        </w:tc>
        <w:tc>
          <w:tcPr>
            <w:tcW w:w="1439" w:type="dxa"/>
            <w:shd w:val="clear" w:color="auto" w:fill="FFF2CC" w:themeFill="accent4" w:themeFillTint="33"/>
          </w:tcPr>
          <w:p w14:paraId="19312C17" w14:textId="7914976C" w:rsidR="003B766C" w:rsidRDefault="003B766C" w:rsidP="00B77CBB">
            <w:r>
              <w:t>32%</w:t>
            </w:r>
          </w:p>
        </w:tc>
        <w:tc>
          <w:tcPr>
            <w:tcW w:w="1033" w:type="dxa"/>
            <w:shd w:val="clear" w:color="auto" w:fill="BDD6EE" w:themeFill="accent5" w:themeFillTint="66"/>
          </w:tcPr>
          <w:p w14:paraId="488820A9" w14:textId="369501CB" w:rsidR="003B766C" w:rsidRDefault="003B766C" w:rsidP="00B77CBB">
            <w:r>
              <w:t>31%</w:t>
            </w:r>
          </w:p>
        </w:tc>
        <w:tc>
          <w:tcPr>
            <w:tcW w:w="1389" w:type="dxa"/>
            <w:shd w:val="clear" w:color="auto" w:fill="BDD6EE" w:themeFill="accent5" w:themeFillTint="66"/>
          </w:tcPr>
          <w:p w14:paraId="73A7D989" w14:textId="62EACB2A" w:rsidR="003B766C" w:rsidRDefault="003B766C" w:rsidP="00B77CBB">
            <w:r>
              <w:t>34%</w:t>
            </w:r>
          </w:p>
        </w:tc>
      </w:tr>
      <w:tr w:rsidR="003B766C" w14:paraId="3AB93678" w14:textId="77777777" w:rsidTr="003B766C">
        <w:tc>
          <w:tcPr>
            <w:tcW w:w="3595" w:type="dxa"/>
          </w:tcPr>
          <w:p w14:paraId="125FC316" w14:textId="30535EB1" w:rsidR="003B766C" w:rsidRDefault="003B766C" w:rsidP="00B77CBB">
            <w:r>
              <w:t>2012 cohort</w:t>
            </w:r>
            <w:r w:rsidR="002568EF">
              <w:t xml:space="preserve"> 2017 Feedback report</w:t>
            </w:r>
          </w:p>
        </w:tc>
        <w:tc>
          <w:tcPr>
            <w:tcW w:w="958" w:type="dxa"/>
            <w:shd w:val="clear" w:color="auto" w:fill="D9D9D9" w:themeFill="background1" w:themeFillShade="D9"/>
          </w:tcPr>
          <w:p w14:paraId="7ECBD3D8" w14:textId="2FC14B50" w:rsidR="003B766C" w:rsidRDefault="003B766C" w:rsidP="00B77CBB">
            <w:r>
              <w:t>23%</w:t>
            </w:r>
          </w:p>
        </w:tc>
        <w:tc>
          <w:tcPr>
            <w:tcW w:w="1389" w:type="dxa"/>
            <w:shd w:val="clear" w:color="auto" w:fill="D9D9D9" w:themeFill="background1" w:themeFillShade="D9"/>
          </w:tcPr>
          <w:p w14:paraId="6FD4FB57" w14:textId="4A39C3B5" w:rsidR="003B766C" w:rsidRDefault="003B766C" w:rsidP="00B77CBB">
            <w:r>
              <w:t>24%</w:t>
            </w:r>
          </w:p>
        </w:tc>
        <w:tc>
          <w:tcPr>
            <w:tcW w:w="987" w:type="dxa"/>
            <w:shd w:val="clear" w:color="auto" w:fill="FFF2CC" w:themeFill="accent4" w:themeFillTint="33"/>
          </w:tcPr>
          <w:p w14:paraId="6C8AEFCA" w14:textId="2DD3FE32" w:rsidR="003B766C" w:rsidRDefault="003B766C" w:rsidP="00B77CBB">
            <w:r>
              <w:t>29%</w:t>
            </w:r>
          </w:p>
        </w:tc>
        <w:tc>
          <w:tcPr>
            <w:tcW w:w="1439" w:type="dxa"/>
            <w:shd w:val="clear" w:color="auto" w:fill="FFF2CC" w:themeFill="accent4" w:themeFillTint="33"/>
          </w:tcPr>
          <w:p w14:paraId="418278D0" w14:textId="661FE574" w:rsidR="003B766C" w:rsidRDefault="003B766C" w:rsidP="00B77CBB">
            <w:r>
              <w:t>29%</w:t>
            </w:r>
          </w:p>
        </w:tc>
        <w:tc>
          <w:tcPr>
            <w:tcW w:w="1033" w:type="dxa"/>
            <w:shd w:val="clear" w:color="auto" w:fill="BDD6EE" w:themeFill="accent5" w:themeFillTint="66"/>
          </w:tcPr>
          <w:p w14:paraId="291E0EFF" w14:textId="3BF8D80D" w:rsidR="003B766C" w:rsidRDefault="003B766C" w:rsidP="00B77CBB">
            <w:r>
              <w:t>31%</w:t>
            </w:r>
          </w:p>
        </w:tc>
        <w:tc>
          <w:tcPr>
            <w:tcW w:w="1389" w:type="dxa"/>
            <w:shd w:val="clear" w:color="auto" w:fill="BDD6EE" w:themeFill="accent5" w:themeFillTint="66"/>
          </w:tcPr>
          <w:p w14:paraId="79548683" w14:textId="13597B3D" w:rsidR="003B766C" w:rsidRDefault="003B766C" w:rsidP="00B77CBB">
            <w:r>
              <w:t>33%</w:t>
            </w:r>
          </w:p>
        </w:tc>
      </w:tr>
      <w:tr w:rsidR="003B766C" w14:paraId="17EFE883" w14:textId="77777777" w:rsidTr="003B766C">
        <w:tc>
          <w:tcPr>
            <w:tcW w:w="3595" w:type="dxa"/>
          </w:tcPr>
          <w:p w14:paraId="759F7E97" w14:textId="77777777" w:rsidR="003B766C" w:rsidRDefault="003B766C" w:rsidP="00B77CBB">
            <w:r>
              <w:t>2013 cohort 2018 Feedback Report</w:t>
            </w:r>
          </w:p>
          <w:p w14:paraId="6E6B67BE" w14:textId="47BE9679" w:rsidR="003B766C" w:rsidRDefault="003B766C" w:rsidP="00B77CBB"/>
        </w:tc>
        <w:tc>
          <w:tcPr>
            <w:tcW w:w="958" w:type="dxa"/>
            <w:shd w:val="clear" w:color="auto" w:fill="D9D9D9" w:themeFill="background1" w:themeFillShade="D9"/>
          </w:tcPr>
          <w:p w14:paraId="2977CF2C" w14:textId="6C2734B9" w:rsidR="003B766C" w:rsidRDefault="003B766C" w:rsidP="00B77CBB">
            <w:r>
              <w:t>21%</w:t>
            </w:r>
          </w:p>
        </w:tc>
        <w:tc>
          <w:tcPr>
            <w:tcW w:w="1389" w:type="dxa"/>
            <w:shd w:val="clear" w:color="auto" w:fill="D9D9D9" w:themeFill="background1" w:themeFillShade="D9"/>
          </w:tcPr>
          <w:p w14:paraId="1D29A0DE" w14:textId="171C4D51" w:rsidR="003B766C" w:rsidRDefault="003B766C" w:rsidP="00B77CBB">
            <w:r>
              <w:t>25%</w:t>
            </w:r>
          </w:p>
        </w:tc>
        <w:tc>
          <w:tcPr>
            <w:tcW w:w="987" w:type="dxa"/>
            <w:shd w:val="clear" w:color="auto" w:fill="FFF2CC" w:themeFill="accent4" w:themeFillTint="33"/>
          </w:tcPr>
          <w:p w14:paraId="74539B3B" w14:textId="31105487" w:rsidR="003B766C" w:rsidRDefault="003B766C" w:rsidP="00B77CBB">
            <w:r>
              <w:t>21%</w:t>
            </w:r>
          </w:p>
        </w:tc>
        <w:tc>
          <w:tcPr>
            <w:tcW w:w="1439" w:type="dxa"/>
            <w:shd w:val="clear" w:color="auto" w:fill="FFF2CC" w:themeFill="accent4" w:themeFillTint="33"/>
          </w:tcPr>
          <w:p w14:paraId="4F10D0DF" w14:textId="241C7F6F" w:rsidR="003B766C" w:rsidRDefault="003B766C" w:rsidP="00B77CBB">
            <w:r>
              <w:t>33%</w:t>
            </w:r>
          </w:p>
        </w:tc>
        <w:tc>
          <w:tcPr>
            <w:tcW w:w="1033" w:type="dxa"/>
            <w:shd w:val="clear" w:color="auto" w:fill="BDD6EE" w:themeFill="accent5" w:themeFillTint="66"/>
          </w:tcPr>
          <w:p w14:paraId="467714E1" w14:textId="17A8B7C1" w:rsidR="003B766C" w:rsidRDefault="003B766C" w:rsidP="00B77CBB">
            <w:r>
              <w:t>23%</w:t>
            </w:r>
          </w:p>
        </w:tc>
        <w:tc>
          <w:tcPr>
            <w:tcW w:w="1389" w:type="dxa"/>
            <w:shd w:val="clear" w:color="auto" w:fill="BDD6EE" w:themeFill="accent5" w:themeFillTint="66"/>
          </w:tcPr>
          <w:p w14:paraId="0C5AF183" w14:textId="222C9DE2" w:rsidR="003B766C" w:rsidRDefault="003B766C" w:rsidP="00B77CBB">
            <w:r>
              <w:t>36%</w:t>
            </w:r>
          </w:p>
        </w:tc>
      </w:tr>
    </w:tbl>
    <w:p w14:paraId="38AD34FD" w14:textId="77777777" w:rsidR="003B766C" w:rsidRDefault="003B766C" w:rsidP="00B77CBB"/>
    <w:sectPr w:rsidR="003B766C" w:rsidSect="00B77C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26"/>
    <w:rsid w:val="00033A04"/>
    <w:rsid w:val="00087370"/>
    <w:rsid w:val="000C4178"/>
    <w:rsid w:val="000F6D2C"/>
    <w:rsid w:val="00186139"/>
    <w:rsid w:val="001D0426"/>
    <w:rsid w:val="002568EF"/>
    <w:rsid w:val="002924E7"/>
    <w:rsid w:val="002A41BA"/>
    <w:rsid w:val="00310131"/>
    <w:rsid w:val="003B766C"/>
    <w:rsid w:val="00461010"/>
    <w:rsid w:val="00491D3D"/>
    <w:rsid w:val="004B0EC7"/>
    <w:rsid w:val="004B12F8"/>
    <w:rsid w:val="0053266C"/>
    <w:rsid w:val="005512A7"/>
    <w:rsid w:val="005643FF"/>
    <w:rsid w:val="00580645"/>
    <w:rsid w:val="006D0455"/>
    <w:rsid w:val="00766743"/>
    <w:rsid w:val="008053D8"/>
    <w:rsid w:val="00943669"/>
    <w:rsid w:val="00984169"/>
    <w:rsid w:val="00A44F36"/>
    <w:rsid w:val="00A5332D"/>
    <w:rsid w:val="00AE7DDF"/>
    <w:rsid w:val="00B314EC"/>
    <w:rsid w:val="00B77CBB"/>
    <w:rsid w:val="00B87727"/>
    <w:rsid w:val="00CB4D63"/>
    <w:rsid w:val="00DE4D7F"/>
    <w:rsid w:val="00E12593"/>
    <w:rsid w:val="00E25A43"/>
    <w:rsid w:val="00F13A22"/>
    <w:rsid w:val="00F44323"/>
    <w:rsid w:val="00F8288C"/>
    <w:rsid w:val="00F92958"/>
    <w:rsid w:val="00F93BBC"/>
    <w:rsid w:val="00F94626"/>
    <w:rsid w:val="00FB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DB3D"/>
  <w14:defaultImageDpi w14:val="32767"/>
  <w15:chartTrackingRefBased/>
  <w15:docId w15:val="{0FB7566A-40D3-3549-A6DB-91C67E87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626"/>
    <w:rPr>
      <w:color w:val="0563C1" w:themeColor="hyperlink"/>
      <w:u w:val="single"/>
    </w:rPr>
  </w:style>
  <w:style w:type="character" w:customStyle="1" w:styleId="UnresolvedMention1">
    <w:name w:val="Unresolved Mention1"/>
    <w:basedOn w:val="DefaultParagraphFont"/>
    <w:uiPriority w:val="99"/>
    <w:rsid w:val="00F94626"/>
    <w:rPr>
      <w:color w:val="605E5C"/>
      <w:shd w:val="clear" w:color="auto" w:fill="E1DFDD"/>
    </w:rPr>
  </w:style>
  <w:style w:type="character" w:customStyle="1" w:styleId="s2">
    <w:name w:val="s2"/>
    <w:basedOn w:val="DefaultParagraphFont"/>
    <w:rsid w:val="00F94626"/>
  </w:style>
  <w:style w:type="character" w:customStyle="1" w:styleId="s1">
    <w:name w:val="s1"/>
    <w:basedOn w:val="DefaultParagraphFont"/>
    <w:rsid w:val="00F94626"/>
  </w:style>
  <w:style w:type="character" w:customStyle="1" w:styleId="apple-converted-space">
    <w:name w:val="apple-converted-space"/>
    <w:basedOn w:val="DefaultParagraphFont"/>
    <w:rsid w:val="00F94626"/>
  </w:style>
  <w:style w:type="character" w:styleId="FollowedHyperlink">
    <w:name w:val="FollowedHyperlink"/>
    <w:basedOn w:val="DefaultParagraphFont"/>
    <w:uiPriority w:val="99"/>
    <w:semiHidden/>
    <w:unhideWhenUsed/>
    <w:rsid w:val="002A41BA"/>
    <w:rPr>
      <w:color w:val="954F72" w:themeColor="followedHyperlink"/>
      <w:u w:val="single"/>
    </w:rPr>
  </w:style>
  <w:style w:type="table" w:styleId="TableGrid">
    <w:name w:val="Table Grid"/>
    <w:basedOn w:val="TableNormal"/>
    <w:uiPriority w:val="39"/>
    <w:rsid w:val="003B7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0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80054">
      <w:bodyDiv w:val="1"/>
      <w:marLeft w:val="0"/>
      <w:marRight w:val="0"/>
      <w:marTop w:val="0"/>
      <w:marBottom w:val="0"/>
      <w:divBdr>
        <w:top w:val="none" w:sz="0" w:space="0" w:color="auto"/>
        <w:left w:val="none" w:sz="0" w:space="0" w:color="auto"/>
        <w:bottom w:val="none" w:sz="0" w:space="0" w:color="auto"/>
        <w:right w:val="none" w:sz="0" w:space="0" w:color="auto"/>
      </w:divBdr>
    </w:div>
    <w:div w:id="1232497511">
      <w:bodyDiv w:val="1"/>
      <w:marLeft w:val="0"/>
      <w:marRight w:val="0"/>
      <w:marTop w:val="0"/>
      <w:marBottom w:val="0"/>
      <w:divBdr>
        <w:top w:val="none" w:sz="0" w:space="0" w:color="auto"/>
        <w:left w:val="none" w:sz="0" w:space="0" w:color="auto"/>
        <w:bottom w:val="none" w:sz="0" w:space="0" w:color="auto"/>
        <w:right w:val="none" w:sz="0" w:space="0" w:color="auto"/>
      </w:divBdr>
      <w:divsChild>
        <w:div w:id="1323005428">
          <w:marLeft w:val="0"/>
          <w:marRight w:val="0"/>
          <w:marTop w:val="0"/>
          <w:marBottom w:val="0"/>
          <w:divBdr>
            <w:top w:val="none" w:sz="0" w:space="0" w:color="auto"/>
            <w:left w:val="none" w:sz="0" w:space="0" w:color="auto"/>
            <w:bottom w:val="none" w:sz="0" w:space="0" w:color="auto"/>
            <w:right w:val="none" w:sz="0" w:space="0" w:color="auto"/>
          </w:divBdr>
          <w:divsChild>
            <w:div w:id="20696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s.nces.ed.gov/ipeds/VisGlossaryAll.aspx" TargetMode="External"/><Relationship Id="rId3" Type="http://schemas.openxmlformats.org/officeDocument/2006/relationships/settings" Target="settings.xml"/><Relationship Id="rId7" Type="http://schemas.openxmlformats.org/officeDocument/2006/relationships/hyperlink" Target="http://data.kansasregents.org/data_collections/KHEDS/success_index.j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urveys.nces.ed.gov/ipeds/VisGlossaryPopup.aspx?idlink=772" TargetMode="External"/><Relationship Id="rId5" Type="http://schemas.openxmlformats.org/officeDocument/2006/relationships/hyperlink" Target="http://download.hlcommission.org/initiatives/StudentSuccessGlossaryofTerms_2019.pdf?utm_source=HLC+Peer+Corps+and+Institutional+Contacts+Mailing+List&amp;utm_campaign=cda38ec858-Student+Success+Glossary+of+Terms+2019-02&amp;utm_medium=email&amp;utm_term=0_3c84f1f46e-cda38ec858-8661504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6D1C5D-F6D2-F84F-B077-994AAC681008}">
  <we:reference id="wa104380121" version="2.0.0.0" store="en-U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2A997-F89E-254C-B0C0-13ED74D0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Perkins</dc:creator>
  <cp:keywords/>
  <dc:description/>
  <cp:lastModifiedBy>Perkins, Charles</cp:lastModifiedBy>
  <cp:revision>4</cp:revision>
  <cp:lastPrinted>2019-04-15T14:45:00Z</cp:lastPrinted>
  <dcterms:created xsi:type="dcterms:W3CDTF">2019-04-15T14:24:00Z</dcterms:created>
  <dcterms:modified xsi:type="dcterms:W3CDTF">2019-04-15T14:45:00Z</dcterms:modified>
</cp:coreProperties>
</file>