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2B3" w:rsidRPr="00B748BE" w:rsidRDefault="004E6F9E" w:rsidP="007342C9">
      <w:pPr>
        <w:pStyle w:val="BodyText"/>
        <w:spacing w:before="1" w:line="276" w:lineRule="auto"/>
        <w:ind w:right="136"/>
      </w:pPr>
      <w:r w:rsidRPr="00B748BE">
        <w:t>Barton evaluates all prior academic learning of students transferring to the College, including</w:t>
      </w:r>
      <w:r w:rsidRPr="00B748BE">
        <w:rPr>
          <w:spacing w:val="1"/>
        </w:rPr>
        <w:t xml:space="preserve"> </w:t>
      </w:r>
      <w:r w:rsidRPr="00B748BE">
        <w:t>that awarded for experiential learning or other forms of prior learning to ensure the quality of the</w:t>
      </w:r>
      <w:r w:rsidRPr="00B748BE">
        <w:rPr>
          <w:spacing w:val="-58"/>
        </w:rPr>
        <w:t xml:space="preserve"> </w:t>
      </w:r>
      <w:r w:rsidRPr="00B748BE">
        <w:t>credits it accepts. The</w:t>
      </w:r>
      <w:r w:rsidRPr="00C84832">
        <w:t xml:space="preserve"> </w:t>
      </w:r>
      <w:r w:rsidR="007342C9" w:rsidRPr="00E13F55">
        <w:t xml:space="preserve">Barton </w:t>
      </w:r>
      <w:hyperlink r:id="rId7" w:history="1">
        <w:r w:rsidR="007342C9" w:rsidRPr="00E13F55">
          <w:rPr>
            <w:rStyle w:val="Hyperlink"/>
          </w:rPr>
          <w:t>Credit for Prior Learning Procedures</w:t>
        </w:r>
      </w:hyperlink>
      <w:r w:rsidR="007342C9" w:rsidRPr="00E13F55">
        <w:t xml:space="preserve"> </w:t>
      </w:r>
      <w:r w:rsidRPr="00B748BE">
        <w:t>clearly describes</w:t>
      </w:r>
      <w:r w:rsidRPr="00B748BE">
        <w:rPr>
          <w:spacing w:val="1"/>
        </w:rPr>
        <w:t xml:space="preserve"> </w:t>
      </w:r>
      <w:r w:rsidRPr="00B748BE">
        <w:t>the processes for evaluating credit for learning gained from other accredited postsecondary</w:t>
      </w:r>
      <w:r w:rsidRPr="00B748BE">
        <w:rPr>
          <w:spacing w:val="1"/>
        </w:rPr>
        <w:t xml:space="preserve"> </w:t>
      </w:r>
      <w:r w:rsidRPr="00B748BE">
        <w:t>institutions and outside a traditional postsecondary academic environment. These procedures</w:t>
      </w:r>
      <w:r w:rsidRPr="00B748BE">
        <w:rPr>
          <w:spacing w:val="1"/>
        </w:rPr>
        <w:t xml:space="preserve"> </w:t>
      </w:r>
      <w:r w:rsidRPr="00B748BE">
        <w:t xml:space="preserve">follow the </w:t>
      </w:r>
      <w:hyperlink r:id="rId8" w:history="1">
        <w:r w:rsidRPr="00E13F55">
          <w:rPr>
            <w:rStyle w:val="Hyperlink"/>
          </w:rPr>
          <w:t xml:space="preserve">KBOR </w:t>
        </w:r>
        <w:bookmarkStart w:id="0" w:name="_GoBack"/>
        <w:bookmarkEnd w:id="0"/>
        <w:r w:rsidRPr="00E13F55">
          <w:rPr>
            <w:rStyle w:val="Hyperlink"/>
          </w:rPr>
          <w:t>Credit for Prior Learning Guidelines</w:t>
        </w:r>
      </w:hyperlink>
      <w:r w:rsidRPr="00E13F55">
        <w:t>.</w:t>
      </w:r>
      <w:r w:rsidRPr="00B748BE">
        <w:t xml:space="preserve"> Students can find these policies and</w:t>
      </w:r>
      <w:r w:rsidRPr="00B748BE">
        <w:rPr>
          <w:spacing w:val="1"/>
        </w:rPr>
        <w:t xml:space="preserve"> </w:t>
      </w:r>
      <w:r w:rsidRPr="00B748BE">
        <w:t>procedures</w:t>
      </w:r>
      <w:r w:rsidRPr="00B748BE">
        <w:rPr>
          <w:spacing w:val="-1"/>
        </w:rPr>
        <w:t xml:space="preserve"> </w:t>
      </w:r>
      <w:r w:rsidRPr="00B748BE">
        <w:t>on the</w:t>
      </w:r>
      <w:r w:rsidRPr="00B748BE">
        <w:rPr>
          <w:spacing w:val="-1"/>
        </w:rPr>
        <w:t xml:space="preserve"> </w:t>
      </w:r>
      <w:r w:rsidR="007342C9">
        <w:t>C</w:t>
      </w:r>
      <w:r w:rsidRPr="00B748BE">
        <w:t>ollege</w:t>
      </w:r>
      <w:r w:rsidRPr="00B748BE">
        <w:rPr>
          <w:spacing w:val="-1"/>
        </w:rPr>
        <w:t xml:space="preserve"> </w:t>
      </w:r>
      <w:r w:rsidRPr="00B748BE">
        <w:t>and KBOR website</w:t>
      </w:r>
      <w:r w:rsidR="007342C9">
        <w:t>s</w:t>
      </w:r>
      <w:r w:rsidRPr="00B748BE">
        <w:t>.</w:t>
      </w:r>
    </w:p>
    <w:p w:rsidR="00E802B3" w:rsidRPr="00B748BE" w:rsidRDefault="00E802B3" w:rsidP="007342C9">
      <w:pPr>
        <w:pStyle w:val="BodyText"/>
        <w:spacing w:before="4"/>
        <w:rPr>
          <w:sz w:val="27"/>
        </w:rPr>
      </w:pPr>
    </w:p>
    <w:p w:rsidR="00E802B3" w:rsidRDefault="007342C9" w:rsidP="007342C9">
      <w:pPr>
        <w:pStyle w:val="BodyText"/>
        <w:spacing w:before="2"/>
      </w:pPr>
      <w:r w:rsidRPr="007342C9">
        <w:t>The Registrar is responsible for awarding and approving credit for prior learning. In support of the process, the College designates trained Transfer Analysts at each instructional site who conduct transcript reviews. Following the established policies, the Registrar and Analysts review Credit for Prior Learning (CPL) requests such as credit by examination, portfolio review, career pathway, military training credit, alignment, apprenticeship, industry/workplace credit, and international credit. Analysts consult with program directors and faculty to evaluate experiential and other forms of prior learning as indicated in the policy and procedures.</w:t>
      </w:r>
    </w:p>
    <w:p w:rsidR="007342C9" w:rsidRPr="00B748BE" w:rsidRDefault="007342C9" w:rsidP="007342C9">
      <w:pPr>
        <w:pStyle w:val="BodyText"/>
        <w:spacing w:before="2"/>
        <w:rPr>
          <w:sz w:val="28"/>
        </w:rPr>
      </w:pPr>
    </w:p>
    <w:p w:rsidR="00E802B3" w:rsidRPr="00B748BE" w:rsidRDefault="004E6F9E" w:rsidP="007342C9">
      <w:pPr>
        <w:pStyle w:val="Heading1"/>
        <w:spacing w:before="1"/>
        <w:ind w:left="0"/>
        <w:rPr>
          <w:rFonts w:ascii="Times New Roman"/>
        </w:rPr>
      </w:pPr>
      <w:r w:rsidRPr="00B748BE">
        <w:rPr>
          <w:rFonts w:ascii="Times New Roman"/>
        </w:rPr>
        <w:t>Third</w:t>
      </w:r>
      <w:r w:rsidRPr="00B748BE">
        <w:rPr>
          <w:rFonts w:ascii="Times New Roman"/>
          <w:spacing w:val="-3"/>
        </w:rPr>
        <w:t xml:space="preserve"> </w:t>
      </w:r>
      <w:r w:rsidRPr="00B748BE">
        <w:rPr>
          <w:rFonts w:ascii="Times New Roman"/>
        </w:rPr>
        <w:t>Party</w:t>
      </w:r>
      <w:r w:rsidRPr="00B748BE">
        <w:rPr>
          <w:rFonts w:ascii="Times New Roman"/>
          <w:spacing w:val="-2"/>
        </w:rPr>
        <w:t xml:space="preserve"> </w:t>
      </w:r>
      <w:r w:rsidRPr="00B748BE">
        <w:rPr>
          <w:rFonts w:ascii="Times New Roman"/>
        </w:rPr>
        <w:t>Evaluation</w:t>
      </w:r>
    </w:p>
    <w:p w:rsidR="00E802B3" w:rsidRPr="00B748BE" w:rsidRDefault="004E6F9E" w:rsidP="007342C9">
      <w:pPr>
        <w:pStyle w:val="BodyText"/>
        <w:spacing w:before="36"/>
        <w:ind w:right="136"/>
      </w:pPr>
      <w:r w:rsidRPr="00B748BE">
        <w:t xml:space="preserve">Barton relies on the evaluation and policies of third parties including the KBOR </w:t>
      </w:r>
      <w:hyperlink r:id="rId9" w:history="1">
        <w:r w:rsidRPr="008600C6">
          <w:rPr>
            <w:rStyle w:val="Hyperlink"/>
          </w:rPr>
          <w:t>Systemwide</w:t>
        </w:r>
        <w:r w:rsidRPr="008600C6">
          <w:rPr>
            <w:rStyle w:val="Hyperlink"/>
            <w:spacing w:val="1"/>
          </w:rPr>
          <w:t xml:space="preserve"> </w:t>
        </w:r>
        <w:r w:rsidRPr="008600C6">
          <w:rPr>
            <w:rStyle w:val="Hyperlink"/>
          </w:rPr>
          <w:t>Transfer (SWT)</w:t>
        </w:r>
      </w:hyperlink>
      <w:r w:rsidRPr="00B748BE">
        <w:rPr>
          <w:spacing w:val="1"/>
        </w:rPr>
        <w:t xml:space="preserve"> </w:t>
      </w:r>
      <w:r w:rsidRPr="00B748BE">
        <w:t xml:space="preserve">for credits earned at other state institutions, the </w:t>
      </w:r>
      <w:hyperlink r:id="rId10" w:history="1">
        <w:r w:rsidRPr="008600C6">
          <w:rPr>
            <w:rStyle w:val="Hyperlink"/>
          </w:rPr>
          <w:t>American Council on Education</w:t>
        </w:r>
        <w:r w:rsidRPr="008600C6">
          <w:rPr>
            <w:rStyle w:val="Hyperlink"/>
            <w:spacing w:val="-58"/>
          </w:rPr>
          <w:t xml:space="preserve"> </w:t>
        </w:r>
        <w:r w:rsidRPr="008600C6">
          <w:rPr>
            <w:rStyle w:val="Hyperlink"/>
          </w:rPr>
          <w:t>Guidelines</w:t>
        </w:r>
      </w:hyperlink>
      <w:r w:rsidRPr="00B748BE">
        <w:t xml:space="preserve"> for military courses and training, and the </w:t>
      </w:r>
      <w:hyperlink r:id="rId11" w:history="1">
        <w:r w:rsidR="00DB03B4" w:rsidRPr="00E13F55">
          <w:rPr>
            <w:rStyle w:val="Hyperlink"/>
          </w:rPr>
          <w:t>World Education Services (WES)</w:t>
        </w:r>
      </w:hyperlink>
      <w:r w:rsidR="00DB03B4">
        <w:t xml:space="preserve"> </w:t>
      </w:r>
      <w:r w:rsidRPr="00B748BE">
        <w:t>for credits</w:t>
      </w:r>
      <w:r w:rsidRPr="00B748BE">
        <w:rPr>
          <w:spacing w:val="1"/>
        </w:rPr>
        <w:t xml:space="preserve"> </w:t>
      </w:r>
      <w:r w:rsidRPr="00B748BE">
        <w:t>received</w:t>
      </w:r>
      <w:r w:rsidRPr="00B748BE">
        <w:rPr>
          <w:spacing w:val="-1"/>
        </w:rPr>
        <w:t xml:space="preserve"> </w:t>
      </w:r>
      <w:r w:rsidRPr="00B748BE">
        <w:t>from international institutions.</w:t>
      </w:r>
    </w:p>
    <w:sectPr w:rsidR="00E802B3" w:rsidRPr="00B748BE" w:rsidSect="00B12A66">
      <w:headerReference w:type="default" r:id="rId12"/>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379" w:rsidRDefault="00887379" w:rsidP="00887379">
      <w:r>
        <w:separator/>
      </w:r>
    </w:p>
  </w:endnote>
  <w:endnote w:type="continuationSeparator" w:id="0">
    <w:p w:rsidR="00887379" w:rsidRDefault="00887379" w:rsidP="0088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379" w:rsidRDefault="00887379" w:rsidP="00887379">
      <w:r>
        <w:separator/>
      </w:r>
    </w:p>
  </w:footnote>
  <w:footnote w:type="continuationSeparator" w:id="0">
    <w:p w:rsidR="00887379" w:rsidRDefault="00887379" w:rsidP="0088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379" w:rsidRPr="00887379" w:rsidRDefault="00887379" w:rsidP="00887379">
    <w:pPr>
      <w:pStyle w:val="Heading1"/>
      <w:numPr>
        <w:ilvl w:val="2"/>
        <w:numId w:val="1"/>
      </w:numPr>
      <w:tabs>
        <w:tab w:val="left" w:pos="806"/>
      </w:tabs>
      <w:spacing w:before="78"/>
      <w:ind w:right="371" w:firstLine="0"/>
      <w:rPr>
        <w:rFonts w:ascii="Times New Roman" w:hAnsi="Times New Roman" w:cs="Times New Roman"/>
        <w:i/>
      </w:rPr>
    </w:pPr>
    <w:r w:rsidRPr="00887379">
      <w:rPr>
        <w:rFonts w:ascii="Times New Roman" w:hAnsi="Times New Roman" w:cs="Times New Roman"/>
      </w:rPr>
      <w:t xml:space="preserve">The Institution evaluates all the credit </w:t>
    </w:r>
    <w:proofErr w:type="gramStart"/>
    <w:r w:rsidRPr="00887379">
      <w:rPr>
        <w:rFonts w:ascii="Times New Roman" w:hAnsi="Times New Roman" w:cs="Times New Roman"/>
      </w:rPr>
      <w:t>it</w:t>
    </w:r>
    <w:proofErr w:type="gramEnd"/>
    <w:r w:rsidRPr="00887379">
      <w:rPr>
        <w:rFonts w:ascii="Times New Roman" w:hAnsi="Times New Roman" w:cs="Times New Roman"/>
      </w:rPr>
      <w:t xml:space="preserve"> transcripts, including what it</w:t>
    </w:r>
    <w:r w:rsidRPr="00887379">
      <w:rPr>
        <w:rFonts w:ascii="Times New Roman" w:hAnsi="Times New Roman" w:cs="Times New Roman"/>
        <w:spacing w:val="1"/>
      </w:rPr>
      <w:t xml:space="preserve"> </w:t>
    </w:r>
    <w:r w:rsidRPr="00887379">
      <w:rPr>
        <w:rFonts w:ascii="Times New Roman" w:hAnsi="Times New Roman" w:cs="Times New Roman"/>
      </w:rPr>
      <w:t>awards for experiential learning or other forms of prior learning, or relies on the</w:t>
    </w:r>
    <w:r w:rsidR="002567CB">
      <w:rPr>
        <w:rFonts w:ascii="Times New Roman" w:hAnsi="Times New Roman" w:cs="Times New Roman"/>
      </w:rPr>
      <w:t xml:space="preserve"> evaluation of </w:t>
    </w:r>
    <w:r w:rsidRPr="00887379">
      <w:rPr>
        <w:rFonts w:ascii="Times New Roman" w:hAnsi="Times New Roman" w:cs="Times New Roman"/>
      </w:rPr>
      <w:t>responsible</w:t>
    </w:r>
    <w:r w:rsidRPr="00887379">
      <w:rPr>
        <w:rFonts w:ascii="Times New Roman" w:hAnsi="Times New Roman" w:cs="Times New Roman"/>
        <w:spacing w:val="1"/>
      </w:rPr>
      <w:t xml:space="preserve"> </w:t>
    </w:r>
    <w:r w:rsidRPr="00887379">
      <w:rPr>
        <w:rFonts w:ascii="Times New Roman" w:hAnsi="Times New Roman" w:cs="Times New Roman"/>
      </w:rPr>
      <w:t>third parties</w:t>
    </w:r>
    <w:r w:rsidRPr="00887379">
      <w:rPr>
        <w:rFonts w:ascii="Times New Roman" w:hAnsi="Times New Roman" w:cs="Times New Roman"/>
        <w:i/>
      </w:rPr>
      <w:t>.</w:t>
    </w:r>
  </w:p>
  <w:p w:rsidR="00887379" w:rsidRDefault="0088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0523"/>
    <w:multiLevelType w:val="hybridMultilevel"/>
    <w:tmpl w:val="7B9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9201D"/>
    <w:multiLevelType w:val="multilevel"/>
    <w:tmpl w:val="6BA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2368C"/>
    <w:multiLevelType w:val="hybridMultilevel"/>
    <w:tmpl w:val="96D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F7BF8"/>
    <w:multiLevelType w:val="hybridMultilevel"/>
    <w:tmpl w:val="392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9129A"/>
    <w:multiLevelType w:val="multilevel"/>
    <w:tmpl w:val="403A4B22"/>
    <w:lvl w:ilvl="0">
      <w:start w:val="4"/>
      <w:numFmt w:val="decimal"/>
      <w:lvlText w:val="%1"/>
      <w:lvlJc w:val="left"/>
      <w:pPr>
        <w:ind w:left="100" w:hanging="706"/>
      </w:pPr>
      <w:rPr>
        <w:rFonts w:hint="default"/>
        <w:lang w:val="en-US" w:eastAsia="en-US" w:bidi="ar-SA"/>
      </w:rPr>
    </w:lvl>
    <w:lvl w:ilvl="1">
      <w:start w:val="1"/>
      <w:numFmt w:val="upperLetter"/>
      <w:lvlText w:val="%1.%2"/>
      <w:lvlJc w:val="left"/>
      <w:pPr>
        <w:ind w:left="100" w:hanging="706"/>
      </w:pPr>
      <w:rPr>
        <w:rFonts w:hint="default"/>
        <w:lang w:val="en-US" w:eastAsia="en-US" w:bidi="ar-SA"/>
      </w:rPr>
    </w:lvl>
    <w:lvl w:ilvl="2">
      <w:start w:val="2"/>
      <w:numFmt w:val="decimal"/>
      <w:lvlText w:val="%1.%2.%3"/>
      <w:lvlJc w:val="left"/>
      <w:pPr>
        <w:ind w:left="100" w:hanging="706"/>
      </w:pPr>
      <w:rPr>
        <w:rFonts w:ascii="Times New Roman" w:eastAsia="Arial" w:hAnsi="Times New Roman" w:cs="Times New Roman" w:hint="default"/>
        <w:b/>
        <w:bCs/>
        <w:i w:val="0"/>
        <w:iCs w:val="0"/>
        <w:spacing w:val="-8"/>
        <w:w w:val="100"/>
        <w:sz w:val="24"/>
        <w:szCs w:val="24"/>
        <w:lang w:val="en-US" w:eastAsia="en-US" w:bidi="ar-SA"/>
      </w:rPr>
    </w:lvl>
    <w:lvl w:ilvl="3">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73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num w:numId="1">
    <w:abstractNumId w:val="4"/>
  </w:num>
  <w:num w:numId="2">
    <w:abstractNumId w:val="3"/>
  </w:num>
  <w:num w:numId="3">
    <w:abstractNumId w:val="1"/>
    <w:lvlOverride w:ilvl="3">
      <w:lvl w:ilvl="3">
        <w:numFmt w:val="bullet"/>
        <w:lvlText w:val=""/>
        <w:lvlJc w:val="left"/>
        <w:pPr>
          <w:tabs>
            <w:tab w:val="num" w:pos="2880"/>
          </w:tabs>
          <w:ind w:left="2880" w:hanging="360"/>
        </w:pPr>
        <w:rPr>
          <w:rFonts w:ascii="Symbol" w:hAnsi="Symbol" w:hint="default"/>
          <w:sz w:val="20"/>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2B3"/>
    <w:rsid w:val="00027EF8"/>
    <w:rsid w:val="000533E4"/>
    <w:rsid w:val="000A530A"/>
    <w:rsid w:val="000B7173"/>
    <w:rsid w:val="001A5F92"/>
    <w:rsid w:val="00252616"/>
    <w:rsid w:val="002567CB"/>
    <w:rsid w:val="00293DF1"/>
    <w:rsid w:val="002E2910"/>
    <w:rsid w:val="003E3787"/>
    <w:rsid w:val="0044410C"/>
    <w:rsid w:val="004E6F9E"/>
    <w:rsid w:val="00503976"/>
    <w:rsid w:val="007342C9"/>
    <w:rsid w:val="007F4860"/>
    <w:rsid w:val="008600C6"/>
    <w:rsid w:val="00864863"/>
    <w:rsid w:val="00887379"/>
    <w:rsid w:val="00915941"/>
    <w:rsid w:val="0098340F"/>
    <w:rsid w:val="009B696F"/>
    <w:rsid w:val="00A62EEC"/>
    <w:rsid w:val="00B12A66"/>
    <w:rsid w:val="00B33695"/>
    <w:rsid w:val="00B45070"/>
    <w:rsid w:val="00B748BE"/>
    <w:rsid w:val="00B74F64"/>
    <w:rsid w:val="00B77F20"/>
    <w:rsid w:val="00BC1D62"/>
    <w:rsid w:val="00BC46E8"/>
    <w:rsid w:val="00BC723D"/>
    <w:rsid w:val="00C07AB2"/>
    <w:rsid w:val="00C275A7"/>
    <w:rsid w:val="00C672A7"/>
    <w:rsid w:val="00C84832"/>
    <w:rsid w:val="00DB03B4"/>
    <w:rsid w:val="00DC72C5"/>
    <w:rsid w:val="00E13F55"/>
    <w:rsid w:val="00E8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B7B3"/>
  <w15:docId w15:val="{748545B5-8034-452C-8B25-CD6CC925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1D62"/>
    <w:rPr>
      <w:color w:val="0000FF" w:themeColor="hyperlink"/>
      <w:u w:val="single"/>
    </w:rPr>
  </w:style>
  <w:style w:type="paragraph" w:styleId="BalloonText">
    <w:name w:val="Balloon Text"/>
    <w:basedOn w:val="Normal"/>
    <w:link w:val="BalloonTextChar"/>
    <w:uiPriority w:val="99"/>
    <w:semiHidden/>
    <w:unhideWhenUsed/>
    <w:rsid w:val="00BC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E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C46E8"/>
    <w:rPr>
      <w:color w:val="800080" w:themeColor="followedHyperlink"/>
      <w:u w:val="single"/>
    </w:rPr>
  </w:style>
  <w:style w:type="paragraph" w:styleId="Header">
    <w:name w:val="header"/>
    <w:basedOn w:val="Normal"/>
    <w:link w:val="HeaderChar"/>
    <w:uiPriority w:val="99"/>
    <w:unhideWhenUsed/>
    <w:rsid w:val="00887379"/>
    <w:pPr>
      <w:tabs>
        <w:tab w:val="center" w:pos="4680"/>
        <w:tab w:val="right" w:pos="9360"/>
      </w:tabs>
    </w:pPr>
  </w:style>
  <w:style w:type="character" w:customStyle="1" w:styleId="HeaderChar">
    <w:name w:val="Header Char"/>
    <w:basedOn w:val="DefaultParagraphFont"/>
    <w:link w:val="Header"/>
    <w:uiPriority w:val="99"/>
    <w:rsid w:val="00887379"/>
    <w:rPr>
      <w:rFonts w:ascii="Times New Roman" w:eastAsia="Times New Roman" w:hAnsi="Times New Roman" w:cs="Times New Roman"/>
    </w:rPr>
  </w:style>
  <w:style w:type="paragraph" w:styleId="Footer">
    <w:name w:val="footer"/>
    <w:basedOn w:val="Normal"/>
    <w:link w:val="FooterChar"/>
    <w:uiPriority w:val="99"/>
    <w:unhideWhenUsed/>
    <w:rsid w:val="00887379"/>
    <w:pPr>
      <w:tabs>
        <w:tab w:val="center" w:pos="4680"/>
        <w:tab w:val="right" w:pos="9360"/>
      </w:tabs>
    </w:pPr>
  </w:style>
  <w:style w:type="character" w:customStyle="1" w:styleId="FooterChar">
    <w:name w:val="Footer Char"/>
    <w:basedOn w:val="DefaultParagraphFont"/>
    <w:link w:val="Footer"/>
    <w:uiPriority w:val="99"/>
    <w:rsid w:val="0088737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13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32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4/4.A%20EVIDENCE%20UPLOADED/4.A.2/4.A.2%20KBOR_Kansas_Credit_for_Prior_Learning_Guide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bartonccc.edu/accreditation/2022%20CRITERION%204/4.A%20EVIDENCE%20UPLOADED/4.A.2/4.A.2%20VPSS_Credit%20for%20Prior%20Learning.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4/4.A%20EVIDENCE%20UPLOADED/4.A.2/4.A.2%20WES_World%20Education%20Services.pdf" TargetMode="External"/><Relationship Id="rId5" Type="http://schemas.openxmlformats.org/officeDocument/2006/relationships/footnotes" Target="footnotes.xml"/><Relationship Id="rId10" Type="http://schemas.openxmlformats.org/officeDocument/2006/relationships/hyperlink" Target="https://docs.bartonccc.edu/accreditation/2022%20CRITERION%204/4.A%20EVIDENCE%20UPLOADED/4.A.2/4.A.2%20ACE_Military%20Guide.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4/4.A%20EVIDENCE%20UPLOADED/4.A.2/4.A.2%20KBOR_Systemwide%20Transf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Oshiro, Cathie</dc:creator>
  <cp:lastModifiedBy>Oshiro, Cathie</cp:lastModifiedBy>
  <cp:revision>5</cp:revision>
  <cp:lastPrinted>2022-03-11T16:07:00Z</cp:lastPrinted>
  <dcterms:created xsi:type="dcterms:W3CDTF">2022-06-20T14:57:00Z</dcterms:created>
  <dcterms:modified xsi:type="dcterms:W3CDTF">2022-08-15T20:50:00Z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2022-03-11T00:00:00Z</vt:filetime>
  </property>
</Properties>
</file>