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B1" w:rsidRPr="00D22EB1" w:rsidRDefault="00D22EB1" w:rsidP="00D22EB1">
      <w:pPr>
        <w:widowControl/>
        <w:shd w:val="clear" w:color="auto" w:fill="FFFFFF"/>
        <w:autoSpaceDE/>
        <w:autoSpaceDN/>
        <w:spacing w:before="100" w:beforeAutospacing="1" w:after="100" w:afterAutospacing="1" w:line="276" w:lineRule="auto"/>
        <w:rPr>
          <w:rFonts w:ascii="Arial" w:hAnsi="Arial" w:cs="Arial"/>
          <w:b/>
          <w:sz w:val="24"/>
          <w:szCs w:val="24"/>
        </w:rPr>
      </w:pPr>
      <w:proofErr w:type="gramStart"/>
      <w:r>
        <w:rPr>
          <w:rFonts w:ascii="Arial" w:hAnsi="Arial" w:cs="Arial"/>
          <w:b/>
          <w:sz w:val="24"/>
          <w:szCs w:val="24"/>
        </w:rPr>
        <w:t>4.A</w:t>
      </w:r>
      <w:r w:rsidRPr="00D22EB1">
        <w:rPr>
          <w:rFonts w:ascii="Arial" w:hAnsi="Arial" w:cs="Arial"/>
          <w:b/>
          <w:sz w:val="24"/>
          <w:szCs w:val="24"/>
        </w:rPr>
        <w:t>.4</w:t>
      </w:r>
      <w:proofErr w:type="gramEnd"/>
      <w:r w:rsidRPr="00D22EB1">
        <w:rPr>
          <w:rFonts w:ascii="Arial" w:hAnsi="Arial" w:cs="Arial"/>
          <w:b/>
          <w:sz w:val="24"/>
          <w:szCs w:val="24"/>
        </w:rPr>
        <w:t xml:space="preserve"> The institution maintains and exercises authority over the prerequisites for courses, rigor of courses, expectations for student learning, access to learning resources, and faculty qualifications for all its programs, including dual credit programs. It ensures that its dual credit courses or programs for high school students are equivalent in learning outcomes and levels of achievement to its higher education curriculum.</w:t>
      </w:r>
    </w:p>
    <w:p w:rsidR="00D22EB1" w:rsidRDefault="00D22EB1" w:rsidP="00D22EB1">
      <w:pPr>
        <w:pStyle w:val="Heading4"/>
        <w:ind w:left="0"/>
      </w:pPr>
      <w:r>
        <w:t>Authority</w:t>
      </w:r>
      <w:r>
        <w:rPr>
          <w:spacing w:val="-5"/>
        </w:rPr>
        <w:t xml:space="preserve"> </w:t>
      </w:r>
      <w:proofErr w:type="gramStart"/>
      <w:r>
        <w:t>Over</w:t>
      </w:r>
      <w:proofErr w:type="gramEnd"/>
      <w:r>
        <w:rPr>
          <w:spacing w:val="-3"/>
        </w:rPr>
        <w:t xml:space="preserve"> </w:t>
      </w:r>
      <w:r>
        <w:t>Courses,</w:t>
      </w:r>
      <w:r>
        <w:rPr>
          <w:spacing w:val="-4"/>
        </w:rPr>
        <w:t xml:space="preserve"> </w:t>
      </w:r>
      <w:r>
        <w:t>Rigor,</w:t>
      </w:r>
      <w:r>
        <w:rPr>
          <w:spacing w:val="-4"/>
        </w:rPr>
        <w:t xml:space="preserve"> </w:t>
      </w:r>
      <w:r>
        <w:t>Expectations</w:t>
      </w:r>
      <w:r>
        <w:rPr>
          <w:spacing w:val="-3"/>
        </w:rPr>
        <w:t xml:space="preserve"> </w:t>
      </w:r>
      <w:r>
        <w:t>for</w:t>
      </w:r>
      <w:r>
        <w:rPr>
          <w:spacing w:val="-3"/>
        </w:rPr>
        <w:t xml:space="preserve"> </w:t>
      </w:r>
      <w:r>
        <w:t>Student</w:t>
      </w:r>
      <w:r>
        <w:rPr>
          <w:spacing w:val="-4"/>
        </w:rPr>
        <w:t xml:space="preserve"> </w:t>
      </w:r>
      <w:r>
        <w:t>Learning</w:t>
      </w:r>
    </w:p>
    <w:p w:rsidR="00D22EB1" w:rsidRDefault="00D22EB1" w:rsidP="00D22EB1">
      <w:pPr>
        <w:pStyle w:val="BodyText"/>
        <w:spacing w:before="8"/>
        <w:rPr>
          <w:b/>
          <w:sz w:val="20"/>
        </w:rPr>
      </w:pPr>
    </w:p>
    <w:p w:rsidR="00D22EB1" w:rsidRDefault="00D22EB1" w:rsidP="0083600D">
      <w:pPr>
        <w:pStyle w:val="BodyText"/>
        <w:spacing w:before="1" w:line="235" w:lineRule="auto"/>
      </w:pPr>
      <w:r>
        <w:t xml:space="preserve">The College is committed to the </w:t>
      </w:r>
      <w:hyperlink r:id="rId5" w:history="1">
        <w:r w:rsidRPr="0083600D">
          <w:rPr>
            <w:rStyle w:val="Hyperlink"/>
          </w:rPr>
          <w:t>integrity, quality, and academic rigor</w:t>
        </w:r>
      </w:hyperlink>
      <w:r w:rsidRPr="0083600D">
        <w:t xml:space="preserve"> </w:t>
      </w:r>
      <w:r>
        <w:t>of all of its courses.</w:t>
      </w:r>
      <w:r>
        <w:rPr>
          <w:spacing w:val="1"/>
        </w:rPr>
        <w:t xml:space="preserve"> </w:t>
      </w:r>
      <w:r>
        <w:t xml:space="preserve">Responsibility for oversight of curriculum and academic standards for courses and programs </w:t>
      </w:r>
      <w:proofErr w:type="gramStart"/>
      <w:r>
        <w:t>is</w:t>
      </w:r>
      <w:r>
        <w:rPr>
          <w:spacing w:val="1"/>
        </w:rPr>
        <w:t xml:space="preserve"> </w:t>
      </w:r>
      <w:r>
        <w:t>managed</w:t>
      </w:r>
      <w:proofErr w:type="gramEnd"/>
      <w:r>
        <w:t xml:space="preserve"> by the </w:t>
      </w:r>
      <w:hyperlink r:id="rId6" w:history="1">
        <w:r w:rsidRPr="0083600D">
          <w:rPr>
            <w:rStyle w:val="Hyperlink"/>
          </w:rPr>
          <w:t>Learning, Instruction, and Curriculum Committee (LICC)</w:t>
        </w:r>
      </w:hyperlink>
      <w:r>
        <w:t>. This faculty-led</w:t>
      </w:r>
      <w:r>
        <w:rPr>
          <w:spacing w:val="1"/>
        </w:rPr>
        <w:t xml:space="preserve"> </w:t>
      </w:r>
      <w:r>
        <w:t>committee functions in an advisory capacity to the Vice President of Instruction and focuses on</w:t>
      </w:r>
      <w:r>
        <w:rPr>
          <w:spacing w:val="1"/>
        </w:rPr>
        <w:t xml:space="preserve"> </w:t>
      </w:r>
      <w:r>
        <w:t>academic and curricular matters. The committee’s goal is to ensure the instructional integrity and to</w:t>
      </w:r>
      <w:r>
        <w:rPr>
          <w:spacing w:val="-57"/>
        </w:rPr>
        <w:t xml:space="preserve"> </w:t>
      </w:r>
      <w:r>
        <w:t xml:space="preserve">provide </w:t>
      </w:r>
      <w:proofErr w:type="gramStart"/>
      <w:r>
        <w:t>quality learning</w:t>
      </w:r>
      <w:proofErr w:type="gramEnd"/>
      <w:r>
        <w:t xml:space="preserve"> experiences for all Barton students regardless of venue or modality. This</w:t>
      </w:r>
      <w:r>
        <w:rPr>
          <w:spacing w:val="1"/>
        </w:rPr>
        <w:t xml:space="preserve"> </w:t>
      </w:r>
      <w:r>
        <w:t>committee oversees the review of all proposed courses and programs, changes in curriculum,</w:t>
      </w:r>
      <w:r>
        <w:rPr>
          <w:spacing w:val="1"/>
        </w:rPr>
        <w:t xml:space="preserve"> </w:t>
      </w:r>
      <w:r>
        <w:t xml:space="preserve">modifications to course content or Master Syllabi, </w:t>
      </w:r>
      <w:proofErr w:type="gramStart"/>
      <w:r>
        <w:t>reviews and recommends changes to faculty</w:t>
      </w:r>
      <w:r>
        <w:rPr>
          <w:spacing w:val="1"/>
        </w:rPr>
        <w:t xml:space="preserve"> </w:t>
      </w:r>
      <w:r>
        <w:t>credentialing guidelines and evaluation processes</w:t>
      </w:r>
      <w:proofErr w:type="gramEnd"/>
      <w:r>
        <w:t xml:space="preserve"> and guards the academic integrity of the College.</w:t>
      </w:r>
      <w:r>
        <w:rPr>
          <w:spacing w:val="1"/>
        </w:rPr>
        <w:t xml:space="preserve"> </w:t>
      </w:r>
      <w:r w:rsidRPr="0083600D">
        <w:rPr>
          <w:color w:val="FF0000"/>
        </w:rPr>
        <w:t xml:space="preserve">The Barton </w:t>
      </w:r>
      <w:hyperlink r:id="rId7" w:history="1">
        <w:r w:rsidRPr="0083600D">
          <w:rPr>
            <w:rStyle w:val="Hyperlink"/>
            <w:color w:val="FF0000"/>
          </w:rPr>
          <w:t>Curriculum Approval Matrix (CAM)</w:t>
        </w:r>
      </w:hyperlink>
      <w:r w:rsidRPr="0083600D">
        <w:rPr>
          <w:color w:val="FF0000"/>
        </w:rPr>
        <w:t>, a macro workflow map, illustrates the rigorous</w:t>
      </w:r>
      <w:r w:rsidRPr="0083600D">
        <w:rPr>
          <w:color w:val="FF0000"/>
          <w:spacing w:val="1"/>
        </w:rPr>
        <w:t xml:space="preserve"> </w:t>
      </w:r>
      <w:r w:rsidRPr="0083600D">
        <w:rPr>
          <w:color w:val="FF0000"/>
        </w:rPr>
        <w:t>processes</w:t>
      </w:r>
      <w:r w:rsidRPr="0083600D">
        <w:rPr>
          <w:color w:val="FF0000"/>
          <w:spacing w:val="-1"/>
        </w:rPr>
        <w:t xml:space="preserve"> </w:t>
      </w:r>
      <w:r w:rsidRPr="0083600D">
        <w:rPr>
          <w:color w:val="FF0000"/>
        </w:rPr>
        <w:t xml:space="preserve">for approving new, </w:t>
      </w:r>
      <w:proofErr w:type="gramStart"/>
      <w:r w:rsidRPr="0083600D">
        <w:rPr>
          <w:color w:val="FF0000"/>
        </w:rPr>
        <w:t>revised,</w:t>
      </w:r>
      <w:proofErr w:type="gramEnd"/>
      <w:r w:rsidRPr="0083600D">
        <w:rPr>
          <w:color w:val="FF0000"/>
        </w:rPr>
        <w:t xml:space="preserve"> and</w:t>
      </w:r>
      <w:r w:rsidRPr="0083600D">
        <w:rPr>
          <w:color w:val="FF0000"/>
          <w:spacing w:val="-1"/>
        </w:rPr>
        <w:t xml:space="preserve"> </w:t>
      </w:r>
      <w:r w:rsidRPr="0083600D">
        <w:rPr>
          <w:color w:val="FF0000"/>
        </w:rPr>
        <w:t>deactivated programs and degrees</w:t>
      </w:r>
      <w:r>
        <w:t>.</w:t>
      </w:r>
      <w:r>
        <w:rPr>
          <w:spacing w:val="-4"/>
        </w:rPr>
        <w:t xml:space="preserve"> </w:t>
      </w:r>
      <w:r>
        <w:rPr>
          <w:i/>
        </w:rPr>
        <w:t>See</w:t>
      </w:r>
      <w:r>
        <w:rPr>
          <w:i/>
          <w:spacing w:val="-1"/>
        </w:rPr>
        <w:t xml:space="preserve"> </w:t>
      </w:r>
      <w:r>
        <w:rPr>
          <w:i/>
        </w:rPr>
        <w:t>also</w:t>
      </w:r>
      <w:r>
        <w:t>,</w:t>
      </w:r>
      <w:r>
        <w:rPr>
          <w:spacing w:val="-1"/>
        </w:rPr>
        <w:t xml:space="preserve"> </w:t>
      </w:r>
      <w:r>
        <w:t>3.A.1.</w:t>
      </w:r>
    </w:p>
    <w:p w:rsidR="00D22EB1" w:rsidRDefault="00D22EB1" w:rsidP="0083600D">
      <w:pPr>
        <w:pStyle w:val="Heading4"/>
        <w:spacing w:before="230"/>
        <w:ind w:left="0"/>
      </w:pPr>
      <w:r>
        <w:t>Prerequisites</w:t>
      </w:r>
    </w:p>
    <w:p w:rsidR="00D22EB1" w:rsidRDefault="00D22EB1" w:rsidP="0083600D">
      <w:pPr>
        <w:pStyle w:val="BodyText"/>
        <w:spacing w:before="8"/>
        <w:rPr>
          <w:b/>
          <w:sz w:val="20"/>
        </w:rPr>
      </w:pPr>
    </w:p>
    <w:p w:rsidR="00D22EB1" w:rsidRDefault="00D22EB1" w:rsidP="0083600D">
      <w:pPr>
        <w:pStyle w:val="BodyText"/>
        <w:spacing w:before="1" w:line="235" w:lineRule="auto"/>
      </w:pPr>
      <w:r>
        <w:t>Prerequisites for all dual/concurrent credit classes align with those for on-campus and online classes;</w:t>
      </w:r>
      <w:r>
        <w:rPr>
          <w:spacing w:val="-57"/>
        </w:rPr>
        <w:t xml:space="preserve"> </w:t>
      </w:r>
      <w:r>
        <w:t>they are assessed and determined by each academic department and new requests and changes are</w:t>
      </w:r>
      <w:r>
        <w:rPr>
          <w:spacing w:val="1"/>
        </w:rPr>
        <w:t xml:space="preserve"> </w:t>
      </w:r>
      <w:r>
        <w:t xml:space="preserve">reviewed by LICC. Course prerequisites </w:t>
      </w:r>
      <w:proofErr w:type="gramStart"/>
      <w:r>
        <w:t>are then published</w:t>
      </w:r>
      <w:proofErr w:type="gramEnd"/>
      <w:r>
        <w:t xml:space="preserve"> in the </w:t>
      </w:r>
      <w:hyperlink r:id="rId8" w:history="1">
        <w:r w:rsidRPr="009618BB">
          <w:rPr>
            <w:rStyle w:val="Hyperlink"/>
          </w:rPr>
          <w:t>College Catalog</w:t>
        </w:r>
      </w:hyperlink>
      <w:r>
        <w:t xml:space="preserve">. </w:t>
      </w:r>
      <w:proofErr w:type="gramStart"/>
      <w:r>
        <w:t>There are two</w:t>
      </w:r>
      <w:r>
        <w:rPr>
          <w:spacing w:val="1"/>
        </w:rPr>
        <w:t xml:space="preserve"> </w:t>
      </w:r>
      <w:r>
        <w:t>primary types of prerequisites, a mandated assessment score or a course that a student must pass</w:t>
      </w:r>
      <w:r>
        <w:rPr>
          <w:spacing w:val="1"/>
        </w:rPr>
        <w:t xml:space="preserve"> </w:t>
      </w:r>
      <w:r>
        <w:t>before enrolling in the more advanced course.</w:t>
      </w:r>
      <w:proofErr w:type="gramEnd"/>
      <w:r>
        <w:t xml:space="preserve"> According to the </w:t>
      </w:r>
      <w:hyperlink r:id="rId9" w:history="1">
        <w:r w:rsidRPr="009618BB">
          <w:rPr>
            <w:rStyle w:val="Hyperlink"/>
          </w:rPr>
          <w:t>Academic Assessment, Placement,</w:t>
        </w:r>
        <w:r w:rsidRPr="009618BB">
          <w:rPr>
            <w:rStyle w:val="Hyperlink"/>
            <w:spacing w:val="1"/>
          </w:rPr>
          <w:t xml:space="preserve"> </w:t>
        </w:r>
        <w:r w:rsidRPr="009618BB">
          <w:rPr>
            <w:rStyle w:val="Hyperlink"/>
          </w:rPr>
          <w:t>and</w:t>
        </w:r>
        <w:r w:rsidRPr="009618BB">
          <w:rPr>
            <w:rStyle w:val="Hyperlink"/>
            <w:spacing w:val="-1"/>
          </w:rPr>
          <w:t xml:space="preserve"> </w:t>
        </w:r>
        <w:r w:rsidRPr="009618BB">
          <w:rPr>
            <w:rStyle w:val="Hyperlink"/>
          </w:rPr>
          <w:t>Re-testing</w:t>
        </w:r>
        <w:r w:rsidRPr="009618BB">
          <w:rPr>
            <w:rStyle w:val="Hyperlink"/>
            <w:spacing w:val="-1"/>
          </w:rPr>
          <w:t xml:space="preserve"> </w:t>
        </w:r>
        <w:r w:rsidRPr="009618BB">
          <w:rPr>
            <w:rStyle w:val="Hyperlink"/>
          </w:rPr>
          <w:t>policy</w:t>
        </w:r>
      </w:hyperlink>
      <w:r>
        <w:t>,</w:t>
      </w:r>
      <w:r>
        <w:rPr>
          <w:spacing w:val="-1"/>
        </w:rPr>
        <w:t xml:space="preserve"> </w:t>
      </w:r>
      <w:r>
        <w:t>students</w:t>
      </w:r>
      <w:r>
        <w:rPr>
          <w:spacing w:val="-2"/>
        </w:rPr>
        <w:t xml:space="preserve"> </w:t>
      </w:r>
      <w:r>
        <w:t>who</w:t>
      </w:r>
      <w:r>
        <w:rPr>
          <w:spacing w:val="-2"/>
        </w:rPr>
        <w:t xml:space="preserve"> </w:t>
      </w:r>
      <w:r>
        <w:t>enroll</w:t>
      </w:r>
      <w:r>
        <w:rPr>
          <w:spacing w:val="-1"/>
        </w:rPr>
        <w:t xml:space="preserve"> </w:t>
      </w:r>
      <w:r>
        <w:t>in</w:t>
      </w:r>
      <w:r>
        <w:rPr>
          <w:spacing w:val="-1"/>
        </w:rPr>
        <w:t xml:space="preserve"> </w:t>
      </w:r>
      <w:r>
        <w:t>specific</w:t>
      </w:r>
      <w:r>
        <w:rPr>
          <w:spacing w:val="-1"/>
        </w:rPr>
        <w:t xml:space="preserve"> </w:t>
      </w:r>
      <w:r>
        <w:t>courses</w:t>
      </w:r>
      <w:r>
        <w:rPr>
          <w:spacing w:val="-1"/>
        </w:rPr>
        <w:t xml:space="preserve"> </w:t>
      </w:r>
      <w:r>
        <w:t>or</w:t>
      </w:r>
      <w:r>
        <w:rPr>
          <w:spacing w:val="-1"/>
        </w:rPr>
        <w:t xml:space="preserve"> </w:t>
      </w:r>
      <w:r>
        <w:t>meet</w:t>
      </w:r>
      <w:r>
        <w:rPr>
          <w:spacing w:val="-1"/>
        </w:rPr>
        <w:t xml:space="preserve"> </w:t>
      </w:r>
      <w:r>
        <w:t>other</w:t>
      </w:r>
      <w:r>
        <w:rPr>
          <w:spacing w:val="-1"/>
        </w:rPr>
        <w:t xml:space="preserve"> </w:t>
      </w:r>
      <w:r>
        <w:t>criteria</w:t>
      </w:r>
      <w:r>
        <w:rPr>
          <w:spacing w:val="-1"/>
        </w:rPr>
        <w:t xml:space="preserve"> </w:t>
      </w:r>
      <w:r>
        <w:t>are</w:t>
      </w:r>
      <w:r>
        <w:rPr>
          <w:spacing w:val="-1"/>
        </w:rPr>
        <w:t xml:space="preserve"> </w:t>
      </w:r>
      <w:r>
        <w:t xml:space="preserve">required to take an assessment test. If test scores are required for a course, the </w:t>
      </w:r>
      <w:hyperlink r:id="rId10" w:history="1">
        <w:r w:rsidRPr="009618BB">
          <w:rPr>
            <w:rStyle w:val="Hyperlink"/>
          </w:rPr>
          <w:t>Placement Scores Advising</w:t>
        </w:r>
        <w:r w:rsidRPr="009618BB">
          <w:rPr>
            <w:rStyle w:val="Hyperlink"/>
            <w:spacing w:val="1"/>
          </w:rPr>
          <w:t xml:space="preserve"> </w:t>
        </w:r>
        <w:r w:rsidRPr="009618BB">
          <w:rPr>
            <w:rStyle w:val="Hyperlink"/>
          </w:rPr>
          <w:t>Matrix</w:t>
        </w:r>
      </w:hyperlink>
      <w:r>
        <w:rPr>
          <w:color w:val="0000ED"/>
        </w:rPr>
        <w:t xml:space="preserve"> </w:t>
      </w:r>
      <w:proofErr w:type="gramStart"/>
      <w:r>
        <w:t>is used</w:t>
      </w:r>
      <w:proofErr w:type="gramEnd"/>
      <w:r>
        <w:t xml:space="preserve"> to determine appropriate course placement. If a prerequisite class is required, students</w:t>
      </w:r>
      <w:r>
        <w:rPr>
          <w:spacing w:val="-57"/>
        </w:rPr>
        <w:t xml:space="preserve"> </w:t>
      </w:r>
      <w:r>
        <w:t>in all delivery modes must meet this prerequisite prior to enrolling.</w:t>
      </w:r>
    </w:p>
    <w:p w:rsidR="00D22EB1" w:rsidRDefault="00D22EB1" w:rsidP="0083600D">
      <w:pPr>
        <w:pStyle w:val="BodyText"/>
        <w:spacing w:before="4"/>
        <w:rPr>
          <w:sz w:val="20"/>
        </w:rPr>
      </w:pPr>
    </w:p>
    <w:p w:rsidR="00D22EB1" w:rsidRDefault="00D22EB1" w:rsidP="0083600D">
      <w:pPr>
        <w:pStyle w:val="Heading4"/>
        <w:ind w:left="0"/>
      </w:pPr>
      <w:r>
        <w:t>Faculty</w:t>
      </w:r>
      <w:r>
        <w:rPr>
          <w:spacing w:val="-3"/>
        </w:rPr>
        <w:t xml:space="preserve"> </w:t>
      </w:r>
      <w:r>
        <w:t>Qualifications,</w:t>
      </w:r>
      <w:r>
        <w:rPr>
          <w:spacing w:val="-3"/>
        </w:rPr>
        <w:t xml:space="preserve"> </w:t>
      </w:r>
      <w:r>
        <w:t>Including</w:t>
      </w:r>
      <w:r>
        <w:rPr>
          <w:spacing w:val="-3"/>
        </w:rPr>
        <w:t xml:space="preserve"> </w:t>
      </w:r>
      <w:r>
        <w:t>Dual</w:t>
      </w:r>
      <w:r>
        <w:rPr>
          <w:spacing w:val="-4"/>
        </w:rPr>
        <w:t xml:space="preserve"> </w:t>
      </w:r>
      <w:r>
        <w:t>Credit</w:t>
      </w:r>
      <w:r>
        <w:rPr>
          <w:spacing w:val="-3"/>
        </w:rPr>
        <w:t xml:space="preserve"> </w:t>
      </w:r>
      <w:r>
        <w:t>Programs</w:t>
      </w:r>
    </w:p>
    <w:p w:rsidR="00806DAC" w:rsidRDefault="00806DAC" w:rsidP="0083600D">
      <w:pPr>
        <w:pStyle w:val="Heading4"/>
        <w:spacing w:before="232"/>
        <w:ind w:left="0"/>
      </w:pPr>
      <w:r w:rsidRPr="00806DAC">
        <w:rPr>
          <w:b w:val="0"/>
        </w:rPr>
        <w:t xml:space="preserve">Barton's </w:t>
      </w:r>
      <w:hyperlink r:id="rId11" w:history="1">
        <w:r w:rsidRPr="00281D7D">
          <w:rPr>
            <w:rStyle w:val="Hyperlink"/>
            <w:b w:val="0"/>
          </w:rPr>
          <w:t>faculty hiring procedures</w:t>
        </w:r>
      </w:hyperlink>
      <w:bookmarkStart w:id="0" w:name="_GoBack"/>
      <w:bookmarkEnd w:id="0"/>
      <w:r w:rsidRPr="00806DAC">
        <w:rPr>
          <w:b w:val="0"/>
        </w:rPr>
        <w:t xml:space="preserve"> </w:t>
      </w:r>
      <w:proofErr w:type="gramStart"/>
      <w:r w:rsidRPr="00806DAC">
        <w:rPr>
          <w:b w:val="0"/>
        </w:rPr>
        <w:t>are clearly stated as prescribed by the </w:t>
      </w:r>
      <w:hyperlink r:id="rId12" w:tgtFrame="_blank" w:history="1">
        <w:r w:rsidRPr="00806DAC">
          <w:rPr>
            <w:rStyle w:val="Hyperlink"/>
            <w:b w:val="0"/>
            <w:color w:val="4A6EE0"/>
          </w:rPr>
          <w:t>Higher</w:t>
        </w:r>
        <w:r w:rsidRPr="00806DAC">
          <w:rPr>
            <w:rStyle w:val="Hyperlink"/>
            <w:b w:val="0"/>
            <w:color w:val="4A6EE0"/>
          </w:rPr>
          <w:t xml:space="preserve"> </w:t>
        </w:r>
        <w:r w:rsidRPr="00806DAC">
          <w:rPr>
            <w:rStyle w:val="Hyperlink"/>
            <w:b w:val="0"/>
            <w:color w:val="4A6EE0"/>
          </w:rPr>
          <w:t>Learning Commission</w:t>
        </w:r>
      </w:hyperlink>
      <w:r w:rsidRPr="00806DAC">
        <w:rPr>
          <w:b w:val="0"/>
        </w:rPr>
        <w:t> and supported by the Kansas Board of Regents</w:t>
      </w:r>
      <w:proofErr w:type="gramEnd"/>
      <w:r w:rsidRPr="00806DAC">
        <w:rPr>
          <w:b w:val="0"/>
        </w:rPr>
        <w:t xml:space="preserve">. The </w:t>
      </w:r>
      <w:hyperlink r:id="rId13" w:history="1">
        <w:r w:rsidRPr="00806DAC">
          <w:rPr>
            <w:rStyle w:val="Hyperlink"/>
            <w:b w:val="0"/>
          </w:rPr>
          <w:t>Barton Faculty Qualifying Credentials</w:t>
        </w:r>
      </w:hyperlink>
      <w:r w:rsidRPr="00806DAC">
        <w:rPr>
          <w:b w:val="0"/>
        </w:rPr>
        <w:t xml:space="preserve"> </w:t>
      </w:r>
      <w:r>
        <w:rPr>
          <w:b w:val="0"/>
        </w:rPr>
        <w:t>spreadsheet</w:t>
      </w:r>
      <w:r w:rsidRPr="00806DAC">
        <w:rPr>
          <w:b w:val="0"/>
        </w:rPr>
        <w:t xml:space="preserve">, based on the IPEDS Classification of Instructional Programs (CIP), identifies </w:t>
      </w:r>
      <w:r w:rsidRPr="00806DAC">
        <w:rPr>
          <w:b w:val="0"/>
        </w:rPr>
        <w:t>instructor-qualifying</w:t>
      </w:r>
      <w:r w:rsidRPr="00806DAC">
        <w:rPr>
          <w:b w:val="0"/>
        </w:rPr>
        <w:t xml:space="preserve"> credentials for each course. Furthermore, regardless of location or mode of delivery, all faculty are subject to the </w:t>
      </w:r>
      <w:hyperlink r:id="rId14" w:tgtFrame="_blank" w:history="1">
        <w:r w:rsidRPr="00806DAC">
          <w:rPr>
            <w:rStyle w:val="Hyperlink"/>
            <w:b w:val="0"/>
            <w:color w:val="4A6EE0"/>
          </w:rPr>
          <w:t>Barton faculty evaluation process</w:t>
        </w:r>
      </w:hyperlink>
      <w:r w:rsidRPr="00806DAC">
        <w:rPr>
          <w:b w:val="0"/>
        </w:rPr>
        <w:t>, designed to ensure the quality of instruction and uniformity across coursework.</w:t>
      </w:r>
    </w:p>
    <w:p w:rsidR="00806DAC" w:rsidRDefault="00806DAC" w:rsidP="0083600D">
      <w:pPr>
        <w:pStyle w:val="Heading4"/>
        <w:spacing w:before="232"/>
        <w:ind w:left="0"/>
      </w:pPr>
    </w:p>
    <w:p w:rsidR="00806DAC" w:rsidRDefault="00806DAC" w:rsidP="0083600D">
      <w:pPr>
        <w:pStyle w:val="Heading4"/>
        <w:spacing w:before="232"/>
        <w:ind w:left="0"/>
      </w:pPr>
    </w:p>
    <w:p w:rsidR="00D22EB1" w:rsidRDefault="00D22EB1" w:rsidP="0083600D">
      <w:pPr>
        <w:pStyle w:val="Heading4"/>
        <w:spacing w:before="232"/>
        <w:ind w:left="0"/>
      </w:pPr>
      <w:r>
        <w:lastRenderedPageBreak/>
        <w:t>Resources</w:t>
      </w:r>
    </w:p>
    <w:p w:rsidR="00D22EB1" w:rsidRDefault="00D22EB1" w:rsidP="0083600D">
      <w:pPr>
        <w:pStyle w:val="BodyText"/>
        <w:spacing w:before="4"/>
        <w:rPr>
          <w:b/>
          <w:sz w:val="20"/>
        </w:rPr>
      </w:pPr>
    </w:p>
    <w:p w:rsidR="00D22EB1" w:rsidRDefault="00D22EB1" w:rsidP="0083600D">
      <w:pPr>
        <w:pStyle w:val="BodyText"/>
      </w:pPr>
      <w:r>
        <w:t>As</w:t>
      </w:r>
      <w:r>
        <w:rPr>
          <w:spacing w:val="-2"/>
        </w:rPr>
        <w:t xml:space="preserve"> </w:t>
      </w:r>
      <w:r>
        <w:t>explained</w:t>
      </w:r>
      <w:r>
        <w:rPr>
          <w:spacing w:val="-1"/>
        </w:rPr>
        <w:t xml:space="preserve"> </w:t>
      </w:r>
      <w:r>
        <w:t>in 3.D.4</w:t>
      </w:r>
      <w:r>
        <w:rPr>
          <w:spacing w:val="-1"/>
        </w:rPr>
        <w:t xml:space="preserve"> </w:t>
      </w:r>
      <w:r>
        <w:t>and 3.D.5,</w:t>
      </w:r>
      <w:r>
        <w:rPr>
          <w:spacing w:val="-1"/>
        </w:rPr>
        <w:t xml:space="preserve"> </w:t>
      </w:r>
      <w:r>
        <w:t>students</w:t>
      </w:r>
      <w:r>
        <w:rPr>
          <w:spacing w:val="-2"/>
        </w:rPr>
        <w:t xml:space="preserve"> </w:t>
      </w:r>
      <w:r>
        <w:t>have access</w:t>
      </w:r>
      <w:r>
        <w:rPr>
          <w:spacing w:val="-1"/>
        </w:rPr>
        <w:t xml:space="preserve"> </w:t>
      </w:r>
      <w:r>
        <w:t>to multiple</w:t>
      </w:r>
      <w:r>
        <w:rPr>
          <w:spacing w:val="-1"/>
        </w:rPr>
        <w:t xml:space="preserve"> </w:t>
      </w:r>
      <w:r>
        <w:t>learning</w:t>
      </w:r>
      <w:r>
        <w:rPr>
          <w:spacing w:val="-1"/>
        </w:rPr>
        <w:t xml:space="preserve"> </w:t>
      </w:r>
      <w:r>
        <w:t>resources.</w:t>
      </w:r>
    </w:p>
    <w:p w:rsidR="00D22EB1" w:rsidRDefault="00D22EB1" w:rsidP="0083600D"/>
    <w:sectPr w:rsidR="00D22EB1" w:rsidSect="00410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01042"/>
    <w:multiLevelType w:val="multilevel"/>
    <w:tmpl w:val="D9146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281D7D"/>
    <w:rsid w:val="00310B52"/>
    <w:rsid w:val="0033013A"/>
    <w:rsid w:val="003734DF"/>
    <w:rsid w:val="00410BB9"/>
    <w:rsid w:val="00693CFA"/>
    <w:rsid w:val="00806DAC"/>
    <w:rsid w:val="0083600D"/>
    <w:rsid w:val="008B53FE"/>
    <w:rsid w:val="00D22EB1"/>
    <w:rsid w:val="00D90F52"/>
    <w:rsid w:val="00E2587B"/>
    <w:rsid w:val="00F2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7580"/>
  <w15:chartTrackingRefBased/>
  <w15:docId w15:val="{51A0C251-9458-40F0-8ECF-6991CC6E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2EB1"/>
    <w:pPr>
      <w:widowControl w:val="0"/>
      <w:autoSpaceDE w:val="0"/>
      <w:autoSpaceDN w:val="0"/>
      <w:spacing w:line="240" w:lineRule="auto"/>
      <w:jc w:val="left"/>
    </w:pPr>
    <w:rPr>
      <w:rFonts w:ascii="Times New Roman" w:eastAsia="Times New Roman" w:hAnsi="Times New Roman"/>
      <w:sz w:val="22"/>
      <w:szCs w:val="22"/>
    </w:rPr>
  </w:style>
  <w:style w:type="paragraph" w:styleId="Heading3">
    <w:name w:val="heading 3"/>
    <w:basedOn w:val="Normal"/>
    <w:link w:val="Heading3Char"/>
    <w:uiPriority w:val="1"/>
    <w:qFormat/>
    <w:rsid w:val="00D22EB1"/>
    <w:pPr>
      <w:ind w:left="120"/>
      <w:outlineLvl w:val="2"/>
    </w:pPr>
    <w:rPr>
      <w:b/>
      <w:bCs/>
      <w:sz w:val="24"/>
      <w:szCs w:val="24"/>
    </w:rPr>
  </w:style>
  <w:style w:type="paragraph" w:styleId="Heading4">
    <w:name w:val="heading 4"/>
    <w:basedOn w:val="Normal"/>
    <w:link w:val="Heading4Char"/>
    <w:uiPriority w:val="1"/>
    <w:qFormat/>
    <w:rsid w:val="00D22EB1"/>
    <w:pPr>
      <w:ind w:left="12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D22EB1"/>
    <w:rPr>
      <w:rFonts w:ascii="Times New Roman" w:eastAsia="Times New Roman" w:hAnsi="Times New Roman"/>
      <w:b/>
      <w:bCs/>
    </w:rPr>
  </w:style>
  <w:style w:type="character" w:customStyle="1" w:styleId="Heading4Char">
    <w:name w:val="Heading 4 Char"/>
    <w:basedOn w:val="DefaultParagraphFont"/>
    <w:link w:val="Heading4"/>
    <w:uiPriority w:val="1"/>
    <w:rsid w:val="00D22EB1"/>
    <w:rPr>
      <w:rFonts w:ascii="Times New Roman" w:eastAsia="Times New Roman" w:hAnsi="Times New Roman"/>
      <w:b/>
      <w:bCs/>
    </w:rPr>
  </w:style>
  <w:style w:type="paragraph" w:styleId="BodyText">
    <w:name w:val="Body Text"/>
    <w:basedOn w:val="Normal"/>
    <w:link w:val="BodyTextChar"/>
    <w:uiPriority w:val="1"/>
    <w:qFormat/>
    <w:rsid w:val="00D22EB1"/>
    <w:rPr>
      <w:sz w:val="24"/>
      <w:szCs w:val="24"/>
    </w:rPr>
  </w:style>
  <w:style w:type="character" w:customStyle="1" w:styleId="BodyTextChar">
    <w:name w:val="Body Text Char"/>
    <w:basedOn w:val="DefaultParagraphFont"/>
    <w:link w:val="BodyText"/>
    <w:uiPriority w:val="1"/>
    <w:rsid w:val="00D22EB1"/>
    <w:rPr>
      <w:rFonts w:ascii="Times New Roman" w:eastAsia="Times New Roman" w:hAnsi="Times New Roman"/>
    </w:rPr>
  </w:style>
  <w:style w:type="character" w:styleId="Hyperlink">
    <w:name w:val="Hyperlink"/>
    <w:basedOn w:val="DefaultParagraphFont"/>
    <w:uiPriority w:val="99"/>
    <w:unhideWhenUsed/>
    <w:rsid w:val="00D22EB1"/>
    <w:rPr>
      <w:color w:val="0563C1" w:themeColor="hyperlink"/>
      <w:u w:val="single"/>
    </w:rPr>
  </w:style>
  <w:style w:type="character" w:styleId="FollowedHyperlink">
    <w:name w:val="FollowedHyperlink"/>
    <w:basedOn w:val="DefaultParagraphFont"/>
    <w:uiPriority w:val="99"/>
    <w:semiHidden/>
    <w:unhideWhenUsed/>
    <w:rsid w:val="00D22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grants/4A%20EVIDENCE%20UPLOADED/4A.4%20EVIDENCE%20UPLOADED/04%204.A.4%20VPI_Examples_of_Courses_with_Prerequsites.pdf" TargetMode="External"/><Relationship Id="rId13" Type="http://schemas.openxmlformats.org/officeDocument/2006/relationships/hyperlink" Target="../../00%20EVIDENCE%20FOR%20UPLOAD%2022/4.A.4/NEW/10%204.A.4%20VPI_Faculty_Qualifying_Credentials.pdf" TargetMode="External"/><Relationship Id="rId3" Type="http://schemas.openxmlformats.org/officeDocument/2006/relationships/settings" Target="settings.xml"/><Relationship Id="rId7" Type="http://schemas.openxmlformats.org/officeDocument/2006/relationships/hyperlink" Target="https://docs.bartonccc.edu/grants/4A%20EVIDENCE%20UPLOADED/4A.4%20EVIDENCE%20UPLOADED/03.4A.Curriculum_Approval_Matrix.pdf" TargetMode="External"/><Relationship Id="rId12" Type="http://schemas.openxmlformats.org/officeDocument/2006/relationships/hyperlink" Target="https://docs.bartonccc.edu/grants/4A%20EVIDENCE%20UPLOADED/4A.4%20EVIDENCE%20UPLOADED/08%204.A.4%20VPI_HLC_Determining_Qualified_Faculty.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00%20EVIDENCE%20FOR%20UPLOAD%2022/4.A.4/NEW/02%204.A.4%20VPI_LICC%20Charter%202020-2021.pdf" TargetMode="External"/><Relationship Id="rId11" Type="http://schemas.openxmlformats.org/officeDocument/2006/relationships/hyperlink" Target="../../00%20EVIDENCE%20FOR%20UPLOAD%2022/4.A.4/NEW/07%204.A.4%20HR_Hiring_Procedures_Faculty.pdf" TargetMode="External"/><Relationship Id="rId5" Type="http://schemas.openxmlformats.org/officeDocument/2006/relationships/hyperlink" Target="../../00%20EVIDENCE%20FOR%20UPLOAD%2022/4.A.4/NEW/01%204.A.4%20-%20VPI_2501_Academic_Integrity_Quality_and_Rigor1.pdf" TargetMode="External"/><Relationship Id="rId15" Type="http://schemas.openxmlformats.org/officeDocument/2006/relationships/fontTable" Target="fontTable.xml"/><Relationship Id="rId10" Type="http://schemas.openxmlformats.org/officeDocument/2006/relationships/hyperlink" Target="https://docs.bartonccc.edu/grants/4A%20EVIDENCE%20UPLOADED/4A.4%20EVIDENCE%20UPLOADED/06%204.A.4%20VPSS_Placement_Matrix.pdf" TargetMode="External"/><Relationship Id="rId4" Type="http://schemas.openxmlformats.org/officeDocument/2006/relationships/webSettings" Target="webSettings.xml"/><Relationship Id="rId9" Type="http://schemas.openxmlformats.org/officeDocument/2006/relationships/hyperlink" Target="https://docs.bartonccc.edu/grants/4A%20EVIDENCE%20UPLOADED/4A.4%20EVIDENCE%20UPLOADED/05%204.A.4%20VPSS_Assessment_Placement_Re-testing_Policy.pdf" TargetMode="External"/><Relationship Id="rId14" Type="http://schemas.openxmlformats.org/officeDocument/2006/relationships/hyperlink" Target="https://docs.bartonccc.edu/grants/4A%20EVIDENCE%20UPLOADED/4A.4%20EVIDENCE%20UPLOADED/10%204.A.4%20VPI_2481_Faculty_Evaluation_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5</cp:revision>
  <dcterms:created xsi:type="dcterms:W3CDTF">2022-04-20T18:50:00Z</dcterms:created>
  <dcterms:modified xsi:type="dcterms:W3CDTF">2022-04-21T00:14:00Z</dcterms:modified>
</cp:coreProperties>
</file>